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FAB8" w14:textId="0DE87056" w:rsidR="000C5CAD" w:rsidRDefault="000C5CAD" w:rsidP="000C5CAD">
      <w:pPr>
        <w:pStyle w:val="BodyText"/>
        <w:rPr>
          <w:rFonts w:ascii="Times New Roman"/>
          <w:sz w:val="20"/>
        </w:rPr>
      </w:pPr>
    </w:p>
    <w:p w14:paraId="67D355FC" w14:textId="77777777" w:rsidR="000C5CAD" w:rsidRDefault="000C5CAD" w:rsidP="000C5CAD">
      <w:pPr>
        <w:pStyle w:val="BodyText"/>
        <w:rPr>
          <w:rFonts w:ascii="Times New Roman"/>
          <w:sz w:val="20"/>
        </w:rPr>
      </w:pPr>
    </w:p>
    <w:p w14:paraId="31968907" w14:textId="77777777" w:rsidR="000C5CAD" w:rsidRDefault="000C5CAD" w:rsidP="000C5CAD">
      <w:pPr>
        <w:pStyle w:val="BodyText"/>
        <w:spacing w:line="20" w:lineRule="exact"/>
        <w:ind w:left="112"/>
        <w:rPr>
          <w:rFonts w:ascii="Times New Roman"/>
          <w:sz w:val="2"/>
        </w:rPr>
      </w:pPr>
      <w:r>
        <w:rPr>
          <w:rFonts w:ascii="Times New Roman"/>
          <w:noProof/>
          <w:sz w:val="2"/>
        </w:rPr>
        <mc:AlternateContent>
          <mc:Choice Requires="wpg">
            <w:drawing>
              <wp:inline distT="0" distB="0" distL="0" distR="0" wp14:anchorId="75FB8B1E" wp14:editId="4E14F389">
                <wp:extent cx="6445250" cy="13970"/>
                <wp:effectExtent l="7620" t="3810" r="14605" b="127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13970"/>
                          <a:chOff x="0" y="0"/>
                          <a:chExt cx="10150" cy="22"/>
                        </a:xfrm>
                      </wpg:grpSpPr>
                      <wps:wsp>
                        <wps:cNvPr id="4" name="Line 4"/>
                        <wps:cNvCnPr>
                          <a:cxnSpLocks noChangeShapeType="1"/>
                        </wps:cNvCnPr>
                        <wps:spPr bwMode="auto">
                          <a:xfrm>
                            <a:off x="0" y="11"/>
                            <a:ext cx="10149" cy="0"/>
                          </a:xfrm>
                          <a:prstGeom prst="line">
                            <a:avLst/>
                          </a:prstGeom>
                          <a:noFill/>
                          <a:ln w="13411">
                            <a:solidFill>
                              <a:srgbClr val="BDBDBD"/>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B166E" id="docshapegroup1" o:spid="_x0000_s1026" style="width:507.5pt;height:1.1pt;mso-position-horizontal-relative:char;mso-position-vertical-relative:line" coordsize="10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">
                <v:line id="Line 4" o:spid="_x0000_s1027" style="position:absolute;visibility:visible;mso-wrap-style:square" from="0,11" to="101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" strokecolor="#bdbdbd" strokeweight=".37253mm">
                  <v:stroke dashstyle="dash"/>
                </v:line>
                <w10:anchorlock/>
              </v:group>
            </w:pict>
          </mc:Fallback>
        </mc:AlternateContent>
      </w:r>
    </w:p>
    <w:p w14:paraId="77139B45" w14:textId="77777777" w:rsidR="000C5CAD" w:rsidRDefault="000C5CAD" w:rsidP="000C5CAD">
      <w:pPr>
        <w:pStyle w:val="BodyText"/>
        <w:rPr>
          <w:rFonts w:ascii="Times New Roman"/>
          <w:sz w:val="20"/>
        </w:rPr>
      </w:pPr>
    </w:p>
    <w:p w14:paraId="46389C14" w14:textId="77777777" w:rsidR="000C5CAD" w:rsidRPr="00FD01D7" w:rsidRDefault="000C5CAD" w:rsidP="000C5CAD">
      <w:pPr>
        <w:pStyle w:val="BodyText"/>
        <w:jc w:val="center"/>
        <w:rPr>
          <w:b/>
          <w:sz w:val="32"/>
          <w:szCs w:val="40"/>
        </w:rPr>
      </w:pPr>
      <w:r w:rsidRPr="00A04051">
        <w:rPr>
          <w:b/>
          <w:sz w:val="32"/>
          <w:szCs w:val="40"/>
        </w:rPr>
        <w:t>I</w:t>
      </w:r>
      <w:r>
        <w:rPr>
          <w:b/>
          <w:sz w:val="32"/>
          <w:szCs w:val="40"/>
        </w:rPr>
        <w:t>nstitutional Readiness (I</w:t>
      </w:r>
      <w:r w:rsidRPr="00A04051">
        <w:rPr>
          <w:b/>
          <w:sz w:val="32"/>
          <w:szCs w:val="40"/>
        </w:rPr>
        <w:t>R</w:t>
      </w:r>
      <w:r>
        <w:rPr>
          <w:b/>
          <w:sz w:val="32"/>
          <w:szCs w:val="40"/>
        </w:rPr>
        <w:t>)</w:t>
      </w:r>
      <w:r w:rsidRPr="00A04051">
        <w:rPr>
          <w:b/>
          <w:sz w:val="32"/>
          <w:szCs w:val="40"/>
        </w:rPr>
        <w:t xml:space="preserve"> Validated Questionnaire</w:t>
      </w:r>
    </w:p>
    <w:p w14:paraId="04C88868" w14:textId="77777777" w:rsidR="000C5CAD" w:rsidRDefault="000C5CAD" w:rsidP="000C5CAD">
      <w:pPr>
        <w:pStyle w:val="BodyText"/>
        <w:spacing w:before="2"/>
        <w:rPr>
          <w:b/>
          <w:sz w:val="23"/>
        </w:rPr>
      </w:pPr>
      <w:r>
        <w:rPr>
          <w:noProof/>
        </w:rPr>
        <mc:AlternateContent>
          <mc:Choice Requires="wps">
            <w:drawing>
              <wp:anchor distT="0" distB="0" distL="0" distR="0" simplePos="0" relativeHeight="251662336" behindDoc="1" locked="0" layoutInCell="1" allowOverlap="1" wp14:anchorId="14CFAF81" wp14:editId="7E8CAE71">
                <wp:simplePos x="0" y="0"/>
                <wp:positionH relativeFrom="page">
                  <wp:posOffset>541020</wp:posOffset>
                </wp:positionH>
                <wp:positionV relativeFrom="paragraph">
                  <wp:posOffset>184785</wp:posOffset>
                </wp:positionV>
                <wp:extent cx="644271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2710" cy="1270"/>
                        </a:xfrm>
                        <a:custGeom>
                          <a:avLst/>
                          <a:gdLst>
                            <a:gd name="T0" fmla="+- 0 852 852"/>
                            <a:gd name="T1" fmla="*/ T0 w 10146"/>
                            <a:gd name="T2" fmla="+- 0 10998 852"/>
                            <a:gd name="T3" fmla="*/ T2 w 10146"/>
                          </a:gdLst>
                          <a:ahLst/>
                          <a:cxnLst>
                            <a:cxn ang="0">
                              <a:pos x="T1" y="0"/>
                            </a:cxn>
                            <a:cxn ang="0">
                              <a:pos x="T3" y="0"/>
                            </a:cxn>
                          </a:cxnLst>
                          <a:rect l="0" t="0" r="r" b="b"/>
                          <a:pathLst>
                            <a:path w="10146">
                              <a:moveTo>
                                <a:pt x="0" y="0"/>
                              </a:moveTo>
                              <a:lnTo>
                                <a:pt x="10146" y="0"/>
                              </a:lnTo>
                            </a:path>
                          </a:pathLst>
                        </a:custGeom>
                        <a:noFill/>
                        <a:ln w="13411">
                          <a:solidFill>
                            <a:srgbClr val="BDBDB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EF43" id="docshape2" o:spid="_x0000_s1026" style="position:absolute;margin-left:42.6pt;margin-top:14.55pt;width:507.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" path="m,l10146,e" filled="f" strokecolor="#bdbdbd" strokeweight=".37253mm">
                <v:stroke dashstyle="dash"/>
                <v:path arrowok="t" o:connecttype="custom" o:connectlocs="0,0;6442710,0" o:connectangles="0,0"/>
                <w10:wrap type="topAndBottom" anchorx="page"/>
              </v:shape>
            </w:pict>
          </mc:Fallback>
        </mc:AlternateContent>
      </w:r>
    </w:p>
    <w:p w14:paraId="1C25A8CB" w14:textId="77777777" w:rsidR="000C5CAD" w:rsidRDefault="000C5CAD" w:rsidP="000C5CAD">
      <w:pPr>
        <w:pStyle w:val="BodyText"/>
        <w:rPr>
          <w:b/>
          <w:sz w:val="20"/>
        </w:rPr>
      </w:pPr>
    </w:p>
    <w:p w14:paraId="2073B60D" w14:textId="77777777" w:rsidR="000C5CAD" w:rsidRDefault="000C5CAD" w:rsidP="000C5CAD">
      <w:pPr>
        <w:pStyle w:val="BodyText"/>
        <w:rPr>
          <w:b/>
          <w:sz w:val="20"/>
        </w:rPr>
      </w:pPr>
    </w:p>
    <w:p w14:paraId="121BDAFB" w14:textId="77777777" w:rsidR="000C5CAD" w:rsidRDefault="000C5CAD" w:rsidP="000C5CAD">
      <w:pPr>
        <w:pStyle w:val="BodyText"/>
        <w:spacing w:before="7"/>
        <w:rPr>
          <w:b/>
          <w:sz w:val="27"/>
        </w:rPr>
      </w:pPr>
    </w:p>
    <w:p w14:paraId="51AC82E2" w14:textId="1C5CEAD9" w:rsidR="000C5CAD" w:rsidRPr="00A04051" w:rsidRDefault="000C5CAD" w:rsidP="00226B9D">
      <w:pPr>
        <w:spacing w:before="92" w:after="0" w:line="417" w:lineRule="auto"/>
        <w:ind w:left="112" w:right="4139"/>
        <w:rPr>
          <w:b/>
          <w:bCs/>
          <w:color w:val="372B45"/>
          <w:sz w:val="28"/>
        </w:rPr>
      </w:pPr>
      <w:r w:rsidRPr="00722036">
        <w:rPr>
          <w:color w:val="372B45"/>
          <w:sz w:val="28"/>
        </w:rPr>
        <w:t>Organisation</w:t>
      </w:r>
      <w:r>
        <w:rPr>
          <w:color w:val="372B45"/>
          <w:sz w:val="28"/>
        </w:rPr>
        <w:t>:</w:t>
      </w:r>
      <w:r>
        <w:rPr>
          <w:color w:val="372B45"/>
          <w:spacing w:val="-9"/>
          <w:sz w:val="28"/>
        </w:rPr>
        <w:t xml:space="preserve"> </w:t>
      </w:r>
      <w:r w:rsidRPr="00A04051">
        <w:rPr>
          <w:color w:val="372B45"/>
          <w:spacing w:val="-9"/>
          <w:sz w:val="28"/>
        </w:rPr>
        <w:t xml:space="preserve">NSS, SNBTS, </w:t>
      </w:r>
      <w:proofErr w:type="spellStart"/>
      <w:r w:rsidRPr="00A04051">
        <w:rPr>
          <w:color w:val="372B45"/>
          <w:spacing w:val="-9"/>
          <w:sz w:val="28"/>
        </w:rPr>
        <w:t>UoE</w:t>
      </w:r>
      <w:proofErr w:type="spellEnd"/>
      <w:r w:rsidRPr="00A04051">
        <w:rPr>
          <w:color w:val="372B45"/>
          <w:spacing w:val="-9"/>
          <w:sz w:val="28"/>
        </w:rPr>
        <w:t xml:space="preserve">, GG&amp;C, LTHT, </w:t>
      </w:r>
      <w:proofErr w:type="spellStart"/>
      <w:r w:rsidRPr="00A04051">
        <w:rPr>
          <w:color w:val="372B45"/>
          <w:spacing w:val="-9"/>
          <w:sz w:val="28"/>
        </w:rPr>
        <w:t>NuTH</w:t>
      </w:r>
      <w:proofErr w:type="spellEnd"/>
      <w:r w:rsidRPr="00A04051">
        <w:rPr>
          <w:color w:val="372B45"/>
          <w:spacing w:val="-9"/>
          <w:sz w:val="28"/>
        </w:rPr>
        <w:t>,</w:t>
      </w:r>
      <w:r w:rsidR="00AB4957">
        <w:rPr>
          <w:color w:val="372B45"/>
          <w:spacing w:val="-9"/>
          <w:sz w:val="28"/>
        </w:rPr>
        <w:t xml:space="preserve"> </w:t>
      </w:r>
      <w:r w:rsidR="00776EE0">
        <w:rPr>
          <w:color w:val="372B45"/>
          <w:spacing w:val="-9"/>
          <w:sz w:val="28"/>
        </w:rPr>
        <w:t>N</w:t>
      </w:r>
      <w:r w:rsidRPr="00A04051">
        <w:rPr>
          <w:color w:val="372B45"/>
          <w:spacing w:val="-9"/>
          <w:sz w:val="28"/>
        </w:rPr>
        <w:t>HSL</w:t>
      </w:r>
    </w:p>
    <w:p w14:paraId="6225FEAD" w14:textId="77777777" w:rsidR="000C5CAD" w:rsidRDefault="000C5CAD" w:rsidP="00AB4957">
      <w:pPr>
        <w:spacing w:before="92" w:after="0" w:line="417" w:lineRule="auto"/>
        <w:ind w:left="112" w:right="4216"/>
        <w:rPr>
          <w:sz w:val="28"/>
        </w:rPr>
      </w:pPr>
      <w:r>
        <w:rPr>
          <w:color w:val="372B45"/>
          <w:sz w:val="28"/>
        </w:rPr>
        <w:t>Document version number: v.1</w:t>
      </w:r>
    </w:p>
    <w:p w14:paraId="5BCFC182" w14:textId="739F30A3" w:rsidR="000C5CAD" w:rsidRPr="00226B9D" w:rsidRDefault="000C5CAD" w:rsidP="00226B9D">
      <w:pPr>
        <w:spacing w:before="3" w:after="0"/>
        <w:ind w:left="112"/>
        <w:rPr>
          <w:sz w:val="28"/>
        </w:rPr>
      </w:pPr>
      <w:r>
        <w:rPr>
          <w:color w:val="372B45"/>
          <w:sz w:val="28"/>
        </w:rPr>
        <w:t>Date</w:t>
      </w:r>
      <w:r>
        <w:rPr>
          <w:color w:val="372B45"/>
          <w:spacing w:val="-6"/>
          <w:sz w:val="28"/>
        </w:rPr>
        <w:t xml:space="preserve"> </w:t>
      </w:r>
      <w:r>
        <w:rPr>
          <w:color w:val="372B45"/>
          <w:sz w:val="28"/>
        </w:rPr>
        <w:t>written:</w:t>
      </w:r>
      <w:r>
        <w:rPr>
          <w:color w:val="372B45"/>
          <w:spacing w:val="-4"/>
          <w:sz w:val="28"/>
        </w:rPr>
        <w:t xml:space="preserve"> </w:t>
      </w:r>
      <w:r w:rsidRPr="00A04051">
        <w:rPr>
          <w:color w:val="372B45"/>
          <w:spacing w:val="-4"/>
          <w:sz w:val="28"/>
        </w:rPr>
        <w:t>22/04/2021</w:t>
      </w:r>
    </w:p>
    <w:p w14:paraId="4C3F7FC7" w14:textId="77777777" w:rsidR="000C5CAD" w:rsidRDefault="000C5CAD" w:rsidP="000C5CAD">
      <w:pPr>
        <w:pStyle w:val="BodyText"/>
        <w:rPr>
          <w:sz w:val="36"/>
        </w:rPr>
      </w:pPr>
    </w:p>
    <w:p w14:paraId="3B15D02E" w14:textId="77777777" w:rsidR="000C5CAD" w:rsidRDefault="000C5CAD" w:rsidP="000C5CAD">
      <w:pPr>
        <w:spacing w:before="1"/>
        <w:ind w:left="112"/>
        <w:rPr>
          <w:b/>
          <w:sz w:val="24"/>
        </w:rPr>
      </w:pPr>
      <w:r>
        <w:rPr>
          <w:b/>
          <w:color w:val="372B45"/>
          <w:sz w:val="24"/>
        </w:rPr>
        <w:t>End user</w:t>
      </w:r>
      <w:r>
        <w:rPr>
          <w:b/>
          <w:color w:val="372B45"/>
          <w:spacing w:val="-1"/>
          <w:sz w:val="24"/>
        </w:rPr>
        <w:t xml:space="preserve"> </w:t>
      </w:r>
      <w:r>
        <w:rPr>
          <w:b/>
          <w:color w:val="372B45"/>
          <w:spacing w:val="-2"/>
          <w:sz w:val="24"/>
        </w:rPr>
        <w:t>rights:</w:t>
      </w:r>
    </w:p>
    <w:p w14:paraId="4EE05B36" w14:textId="77777777" w:rsidR="000C5CAD" w:rsidRDefault="000C5CAD" w:rsidP="000C5CAD">
      <w:pPr>
        <w:pStyle w:val="BodyText"/>
        <w:spacing w:before="5"/>
        <w:rPr>
          <w:b/>
          <w:sz w:val="20"/>
        </w:rPr>
      </w:pPr>
    </w:p>
    <w:p w14:paraId="1018130B" w14:textId="77777777" w:rsidR="000C5CAD" w:rsidRDefault="000C5CAD" w:rsidP="000C5CAD">
      <w:pPr>
        <w:pStyle w:val="BodyText"/>
        <w:ind w:left="112" w:right="172"/>
      </w:pPr>
      <w:r>
        <w:rPr>
          <w:color w:val="372B45"/>
        </w:rPr>
        <w:t>This</w:t>
      </w:r>
      <w:r>
        <w:rPr>
          <w:color w:val="372B45"/>
          <w:spacing w:val="-4"/>
        </w:rPr>
        <w:t xml:space="preserve"> </w:t>
      </w:r>
      <w:r>
        <w:rPr>
          <w:color w:val="372B45"/>
        </w:rPr>
        <w:t>document</w:t>
      </w:r>
      <w:r>
        <w:rPr>
          <w:color w:val="372B45"/>
          <w:spacing w:val="-3"/>
        </w:rPr>
        <w:t xml:space="preserve"> </w:t>
      </w:r>
      <w:r>
        <w:rPr>
          <w:color w:val="372B45"/>
        </w:rPr>
        <w:t>is</w:t>
      </w:r>
      <w:r>
        <w:rPr>
          <w:color w:val="372B45"/>
          <w:spacing w:val="-4"/>
        </w:rPr>
        <w:t xml:space="preserve"> </w:t>
      </w:r>
      <w:r>
        <w:rPr>
          <w:color w:val="372B45"/>
        </w:rPr>
        <w:t>shared</w:t>
      </w:r>
      <w:r>
        <w:rPr>
          <w:color w:val="372B45"/>
          <w:spacing w:val="-3"/>
        </w:rPr>
        <w:t xml:space="preserve"> </w:t>
      </w:r>
      <w:r>
        <w:rPr>
          <w:color w:val="372B45"/>
        </w:rPr>
        <w:t>with</w:t>
      </w:r>
      <w:r>
        <w:rPr>
          <w:color w:val="372B45"/>
          <w:spacing w:val="-5"/>
        </w:rPr>
        <w:t xml:space="preserve"> </w:t>
      </w:r>
      <w:r>
        <w:rPr>
          <w:color w:val="372B45"/>
        </w:rPr>
        <w:t>permission for</w:t>
      </w:r>
      <w:r>
        <w:rPr>
          <w:color w:val="372B45"/>
          <w:spacing w:val="-6"/>
        </w:rPr>
        <w:t xml:space="preserve"> </w:t>
      </w:r>
      <w:r>
        <w:rPr>
          <w:color w:val="372B45"/>
        </w:rPr>
        <w:t>re-use</w:t>
      </w:r>
      <w:r>
        <w:rPr>
          <w:color w:val="372B45"/>
          <w:spacing w:val="-3"/>
        </w:rPr>
        <w:t xml:space="preserve"> </w:t>
      </w:r>
      <w:r>
        <w:rPr>
          <w:color w:val="372B45"/>
        </w:rPr>
        <w:t>to</w:t>
      </w:r>
      <w:r>
        <w:rPr>
          <w:color w:val="372B45"/>
          <w:spacing w:val="-5"/>
        </w:rPr>
        <w:t xml:space="preserve"> </w:t>
      </w:r>
      <w:r>
        <w:rPr>
          <w:color w:val="372B45"/>
        </w:rPr>
        <w:t>distribute,</w:t>
      </w:r>
      <w:r>
        <w:rPr>
          <w:color w:val="372B45"/>
          <w:spacing w:val="-3"/>
        </w:rPr>
        <w:t xml:space="preserve"> </w:t>
      </w:r>
      <w:r>
        <w:rPr>
          <w:color w:val="372B45"/>
        </w:rPr>
        <w:t>remix,</w:t>
      </w:r>
      <w:r>
        <w:rPr>
          <w:color w:val="372B45"/>
          <w:spacing w:val="-4"/>
        </w:rPr>
        <w:t xml:space="preserve"> </w:t>
      </w:r>
      <w:r>
        <w:rPr>
          <w:color w:val="372B45"/>
        </w:rPr>
        <w:t>adapt,</w:t>
      </w:r>
      <w:r>
        <w:rPr>
          <w:color w:val="372B45"/>
          <w:spacing w:val="-3"/>
        </w:rPr>
        <w:t xml:space="preserve"> </w:t>
      </w:r>
      <w:r>
        <w:rPr>
          <w:color w:val="372B45"/>
        </w:rPr>
        <w:t>and</w:t>
      </w:r>
      <w:r>
        <w:rPr>
          <w:color w:val="372B45"/>
          <w:spacing w:val="-5"/>
        </w:rPr>
        <w:t xml:space="preserve"> </w:t>
      </w:r>
      <w:r>
        <w:rPr>
          <w:color w:val="372B45"/>
        </w:rPr>
        <w:t>build</w:t>
      </w:r>
      <w:r>
        <w:rPr>
          <w:color w:val="372B45"/>
          <w:spacing w:val="-5"/>
        </w:rPr>
        <w:t xml:space="preserve"> </w:t>
      </w:r>
      <w:r>
        <w:rPr>
          <w:color w:val="372B45"/>
        </w:rPr>
        <w:t>upon the material in any medium or format for non-commercial purposes only.</w:t>
      </w:r>
      <w:r>
        <w:rPr>
          <w:color w:val="372B45"/>
          <w:spacing w:val="-3"/>
        </w:rPr>
        <w:t xml:space="preserve"> </w:t>
      </w:r>
    </w:p>
    <w:p w14:paraId="069F3A1B" w14:textId="77777777" w:rsidR="000C5CAD" w:rsidRDefault="000C5CAD" w:rsidP="000C5CAD">
      <w:pPr>
        <w:pStyle w:val="BodyText"/>
        <w:spacing w:before="10"/>
        <w:rPr>
          <w:sz w:val="20"/>
        </w:rPr>
      </w:pPr>
    </w:p>
    <w:p w14:paraId="2584DEA0" w14:textId="77777777" w:rsidR="000C5CAD" w:rsidRDefault="000C5CAD" w:rsidP="000C5CAD">
      <w:pPr>
        <w:pStyle w:val="BodyText"/>
        <w:ind w:left="112"/>
      </w:pPr>
      <w:r>
        <w:rPr>
          <w:color w:val="372B45"/>
        </w:rPr>
        <w:t>This</w:t>
      </w:r>
      <w:r>
        <w:rPr>
          <w:color w:val="372B45"/>
          <w:spacing w:val="-4"/>
        </w:rPr>
        <w:t xml:space="preserve"> </w:t>
      </w:r>
      <w:r>
        <w:rPr>
          <w:color w:val="372B45"/>
        </w:rPr>
        <w:t>document</w:t>
      </w:r>
      <w:r>
        <w:rPr>
          <w:color w:val="372B45"/>
          <w:spacing w:val="-3"/>
        </w:rPr>
        <w:t xml:space="preserve"> </w:t>
      </w:r>
      <w:r>
        <w:rPr>
          <w:color w:val="372B45"/>
        </w:rPr>
        <w:t>is</w:t>
      </w:r>
      <w:r>
        <w:rPr>
          <w:color w:val="372B45"/>
          <w:spacing w:val="-4"/>
        </w:rPr>
        <w:t xml:space="preserve"> </w:t>
      </w:r>
      <w:r>
        <w:rPr>
          <w:color w:val="372B45"/>
        </w:rPr>
        <w:t>made</w:t>
      </w:r>
      <w:r>
        <w:rPr>
          <w:color w:val="372B45"/>
          <w:spacing w:val="-3"/>
        </w:rPr>
        <w:t xml:space="preserve"> </w:t>
      </w:r>
      <w:r>
        <w:rPr>
          <w:color w:val="372B45"/>
        </w:rPr>
        <w:t>available</w:t>
      </w:r>
      <w:r>
        <w:rPr>
          <w:color w:val="372B45"/>
          <w:spacing w:val="-3"/>
        </w:rPr>
        <w:t xml:space="preserve"> </w:t>
      </w:r>
      <w:r>
        <w:rPr>
          <w:color w:val="372B45"/>
        </w:rPr>
        <w:t>under</w:t>
      </w:r>
      <w:r>
        <w:rPr>
          <w:color w:val="372B45"/>
          <w:spacing w:val="-3"/>
        </w:rPr>
        <w:t xml:space="preserve"> </w:t>
      </w:r>
      <w:r>
        <w:rPr>
          <w:color w:val="372B45"/>
        </w:rPr>
        <w:t>a</w:t>
      </w:r>
      <w:r>
        <w:rPr>
          <w:color w:val="372B45"/>
          <w:spacing w:val="-3"/>
        </w:rPr>
        <w:t xml:space="preserve"> </w:t>
      </w:r>
      <w:r>
        <w:rPr>
          <w:color w:val="372B45"/>
        </w:rPr>
        <w:t>Creative</w:t>
      </w:r>
      <w:r>
        <w:rPr>
          <w:color w:val="372B45"/>
          <w:spacing w:val="-3"/>
        </w:rPr>
        <w:t xml:space="preserve"> </w:t>
      </w:r>
      <w:r>
        <w:rPr>
          <w:color w:val="372B45"/>
        </w:rPr>
        <w:t>Commons</w:t>
      </w:r>
      <w:r>
        <w:rPr>
          <w:color w:val="372B45"/>
          <w:spacing w:val="-3"/>
        </w:rPr>
        <w:t xml:space="preserve"> </w:t>
      </w:r>
      <w:r>
        <w:rPr>
          <w:color w:val="372B45"/>
        </w:rPr>
        <w:t>Attribution-</w:t>
      </w:r>
      <w:proofErr w:type="spellStart"/>
      <w:r>
        <w:rPr>
          <w:color w:val="372B45"/>
        </w:rPr>
        <w:t>NonCommercial</w:t>
      </w:r>
      <w:proofErr w:type="spellEnd"/>
      <w:r>
        <w:rPr>
          <w:color w:val="372B45"/>
          <w:spacing w:val="-6"/>
        </w:rPr>
        <w:t xml:space="preserve"> </w:t>
      </w:r>
      <w:r>
        <w:rPr>
          <w:color w:val="372B45"/>
        </w:rPr>
        <w:t>4.0 International License as described here:</w:t>
      </w:r>
    </w:p>
    <w:p w14:paraId="755D582B" w14:textId="77777777" w:rsidR="000C5CAD" w:rsidRDefault="000C5CAD" w:rsidP="000C5CAD">
      <w:pPr>
        <w:pStyle w:val="BodyText"/>
        <w:spacing w:before="10"/>
        <w:rPr>
          <w:sz w:val="20"/>
        </w:rPr>
      </w:pPr>
    </w:p>
    <w:p w14:paraId="190C64BB" w14:textId="77777777" w:rsidR="000C5CAD" w:rsidRDefault="00EE203D" w:rsidP="000C5CAD">
      <w:pPr>
        <w:pStyle w:val="BodyText"/>
        <w:ind w:left="112"/>
      </w:pPr>
      <w:hyperlink r:id="rId11">
        <w:r w:rsidR="000C5CAD">
          <w:rPr>
            <w:color w:val="0000FF"/>
            <w:spacing w:val="-2"/>
            <w:u w:val="single" w:color="0000FF"/>
          </w:rPr>
          <w:t>https://creativecommons.org/licenses/by-nc/4.0/</w:t>
        </w:r>
      </w:hyperlink>
    </w:p>
    <w:p w14:paraId="0B811E32" w14:textId="77777777" w:rsidR="000C5CAD" w:rsidRDefault="000C5CAD" w:rsidP="000C5CAD">
      <w:pPr>
        <w:pStyle w:val="BodyText"/>
        <w:spacing w:before="4"/>
        <w:rPr>
          <w:sz w:val="23"/>
        </w:rPr>
      </w:pPr>
    </w:p>
    <w:p w14:paraId="737029D8" w14:textId="77777777" w:rsidR="000C5CAD" w:rsidRDefault="000C5CAD" w:rsidP="000C5CAD">
      <w:pPr>
        <w:pStyle w:val="BodyText"/>
        <w:spacing w:before="93"/>
        <w:ind w:left="112" w:right="116"/>
      </w:pPr>
      <w:r>
        <w:rPr>
          <w:color w:val="372B45"/>
        </w:rPr>
        <w:t>The</w:t>
      </w:r>
      <w:r>
        <w:rPr>
          <w:color w:val="372B45"/>
          <w:spacing w:val="-2"/>
        </w:rPr>
        <w:t xml:space="preserve"> </w:t>
      </w:r>
      <w:r>
        <w:rPr>
          <w:color w:val="372B45"/>
        </w:rPr>
        <w:t>information,</w:t>
      </w:r>
      <w:r>
        <w:rPr>
          <w:color w:val="372B45"/>
          <w:spacing w:val="-4"/>
        </w:rPr>
        <w:t xml:space="preserve"> </w:t>
      </w:r>
      <w:r>
        <w:rPr>
          <w:color w:val="372B45"/>
        </w:rPr>
        <w:t>materials</w:t>
      </w:r>
      <w:r>
        <w:rPr>
          <w:color w:val="372B45"/>
          <w:spacing w:val="-3"/>
        </w:rPr>
        <w:t xml:space="preserve"> </w:t>
      </w:r>
      <w:r>
        <w:rPr>
          <w:color w:val="372B45"/>
        </w:rPr>
        <w:t>and</w:t>
      </w:r>
      <w:r>
        <w:rPr>
          <w:color w:val="372B45"/>
          <w:spacing w:val="-4"/>
        </w:rPr>
        <w:t xml:space="preserve"> </w:t>
      </w:r>
      <w:r>
        <w:rPr>
          <w:color w:val="372B45"/>
        </w:rPr>
        <w:t>any</w:t>
      </w:r>
      <w:r>
        <w:rPr>
          <w:color w:val="372B45"/>
          <w:spacing w:val="-4"/>
        </w:rPr>
        <w:t xml:space="preserve"> </w:t>
      </w:r>
      <w:r>
        <w:rPr>
          <w:color w:val="372B45"/>
        </w:rPr>
        <w:t>opinions</w:t>
      </w:r>
      <w:r>
        <w:rPr>
          <w:color w:val="372B45"/>
          <w:spacing w:val="-2"/>
        </w:rPr>
        <w:t xml:space="preserve"> </w:t>
      </w:r>
      <w:r>
        <w:rPr>
          <w:color w:val="372B45"/>
        </w:rPr>
        <w:t>contained</w:t>
      </w:r>
      <w:r>
        <w:rPr>
          <w:color w:val="372B45"/>
          <w:spacing w:val="-2"/>
        </w:rPr>
        <w:t xml:space="preserve"> </w:t>
      </w:r>
      <w:r>
        <w:rPr>
          <w:color w:val="372B45"/>
        </w:rPr>
        <w:t>in</w:t>
      </w:r>
      <w:r>
        <w:rPr>
          <w:color w:val="372B45"/>
          <w:spacing w:val="-2"/>
        </w:rPr>
        <w:t xml:space="preserve"> </w:t>
      </w:r>
      <w:r>
        <w:rPr>
          <w:color w:val="372B45"/>
        </w:rPr>
        <w:t>this</w:t>
      </w:r>
      <w:r>
        <w:rPr>
          <w:color w:val="372B45"/>
          <w:spacing w:val="-5"/>
        </w:rPr>
        <w:t xml:space="preserve"> </w:t>
      </w:r>
      <w:r>
        <w:rPr>
          <w:color w:val="372B45"/>
        </w:rPr>
        <w:t>document are</w:t>
      </w:r>
      <w:r>
        <w:rPr>
          <w:color w:val="372B45"/>
          <w:spacing w:val="-2"/>
        </w:rPr>
        <w:t xml:space="preserve"> </w:t>
      </w:r>
      <w:r>
        <w:rPr>
          <w:color w:val="372B45"/>
        </w:rPr>
        <w:t>provided</w:t>
      </w:r>
      <w:r>
        <w:rPr>
          <w:color w:val="372B45"/>
          <w:spacing w:val="-4"/>
        </w:rPr>
        <w:t xml:space="preserve"> </w:t>
      </w:r>
      <w:r>
        <w:rPr>
          <w:color w:val="372B45"/>
        </w:rPr>
        <w:t>for</w:t>
      </w:r>
      <w:r>
        <w:rPr>
          <w:color w:val="372B45"/>
          <w:spacing w:val="-2"/>
        </w:rPr>
        <w:t xml:space="preserve"> </w:t>
      </w:r>
      <w:r>
        <w:rPr>
          <w:color w:val="372B45"/>
        </w:rPr>
        <w:t>general information</w:t>
      </w:r>
      <w:r>
        <w:rPr>
          <w:color w:val="372B45"/>
          <w:spacing w:val="-2"/>
        </w:rPr>
        <w:t xml:space="preserve"> </w:t>
      </w:r>
      <w:r>
        <w:rPr>
          <w:color w:val="372B45"/>
        </w:rPr>
        <w:t>and educational</w:t>
      </w:r>
      <w:r>
        <w:rPr>
          <w:color w:val="372B45"/>
          <w:spacing w:val="-1"/>
        </w:rPr>
        <w:t xml:space="preserve"> </w:t>
      </w:r>
      <w:r>
        <w:rPr>
          <w:color w:val="372B45"/>
        </w:rPr>
        <w:t>purposes only,</w:t>
      </w:r>
      <w:r>
        <w:rPr>
          <w:color w:val="372B45"/>
          <w:spacing w:val="-3"/>
        </w:rPr>
        <w:t xml:space="preserve"> </w:t>
      </w:r>
      <w:r>
        <w:rPr>
          <w:color w:val="372B45"/>
        </w:rPr>
        <w:t>are not intended to constitute legal,</w:t>
      </w:r>
      <w:r>
        <w:rPr>
          <w:color w:val="372B45"/>
          <w:spacing w:val="-2"/>
        </w:rPr>
        <w:t xml:space="preserve"> </w:t>
      </w:r>
      <w:proofErr w:type="gramStart"/>
      <w:r>
        <w:rPr>
          <w:color w:val="372B45"/>
        </w:rPr>
        <w:t>medical</w:t>
      </w:r>
      <w:proofErr w:type="gramEnd"/>
      <w:r>
        <w:rPr>
          <w:color w:val="372B45"/>
          <w:spacing w:val="-1"/>
        </w:rPr>
        <w:t xml:space="preserve"> </w:t>
      </w:r>
      <w:r>
        <w:rPr>
          <w:color w:val="372B45"/>
        </w:rPr>
        <w:t>or</w:t>
      </w:r>
      <w:r>
        <w:rPr>
          <w:color w:val="372B45"/>
          <w:spacing w:val="-3"/>
        </w:rPr>
        <w:t xml:space="preserve"> </w:t>
      </w:r>
      <w:r>
        <w:rPr>
          <w:color w:val="372B45"/>
        </w:rPr>
        <w:t>other professional advice and should not be relied on or treated as a substitute for specific advice relevant to particular circumstances.</w:t>
      </w:r>
      <w:r>
        <w:rPr>
          <w:color w:val="372B45"/>
          <w:spacing w:val="40"/>
        </w:rPr>
        <w:t xml:space="preserve"> </w:t>
      </w:r>
      <w:r>
        <w:rPr>
          <w:color w:val="372B45"/>
        </w:rPr>
        <w:t xml:space="preserve">Although we make all reasonable efforts to ensure the information is up to date, we make no representations, warranties or guarantees in that regard. In no event shall the creator(s) be liable for any direct, indirect, special, </w:t>
      </w:r>
      <w:proofErr w:type="gramStart"/>
      <w:r>
        <w:rPr>
          <w:color w:val="372B45"/>
        </w:rPr>
        <w:t>consequential</w:t>
      </w:r>
      <w:proofErr w:type="gramEnd"/>
      <w:r>
        <w:rPr>
          <w:color w:val="372B45"/>
        </w:rPr>
        <w:t xml:space="preserve"> or other claims, losses or damages that are related to the use or reliance whatsoever in the content of the document or any part thereof, except to the extent that such liability cannot be excluded by law.</w:t>
      </w:r>
      <w:r>
        <w:rPr>
          <w:color w:val="372B45"/>
          <w:spacing w:val="40"/>
        </w:rPr>
        <w:t xml:space="preserve"> </w:t>
      </w:r>
      <w:r>
        <w:rPr>
          <w:color w:val="372B45"/>
        </w:rPr>
        <w:t xml:space="preserve">We do not seek to exclude or limit in any way our liability to the user for personal injury or death caused </w:t>
      </w:r>
      <w:proofErr w:type="gramStart"/>
      <w:r>
        <w:rPr>
          <w:color w:val="372B45"/>
        </w:rPr>
        <w:t>as a result of</w:t>
      </w:r>
      <w:proofErr w:type="gramEnd"/>
      <w:r>
        <w:rPr>
          <w:color w:val="372B45"/>
        </w:rPr>
        <w:t xml:space="preserve"> our negligence or seek to exclude or limit our liability for fraud or fraudulent misrepresentation by us.</w:t>
      </w:r>
    </w:p>
    <w:p w14:paraId="310240D3" w14:textId="77777777" w:rsidR="000C5CAD" w:rsidRDefault="000C5CAD" w:rsidP="000C5CAD">
      <w:pPr>
        <w:sectPr w:rsidR="000C5CAD" w:rsidSect="000C5CAD">
          <w:headerReference w:type="default" r:id="rId12"/>
          <w:footerReference w:type="default" r:id="rId13"/>
          <w:pgSz w:w="11910" w:h="16840"/>
          <w:pgMar w:top="2000" w:right="740" w:bottom="1780" w:left="740" w:header="948" w:footer="1595" w:gutter="0"/>
          <w:pgNumType w:start="1"/>
          <w:cols w:space="720"/>
        </w:sectPr>
      </w:pPr>
    </w:p>
    <w:p w14:paraId="3E7DB425" w14:textId="77777777" w:rsidR="000C5CAD" w:rsidRDefault="000C5CAD" w:rsidP="000C5CAD">
      <w:pPr>
        <w:pStyle w:val="BodyText"/>
        <w:rPr>
          <w:sz w:val="20"/>
        </w:rPr>
      </w:pPr>
    </w:p>
    <w:p w14:paraId="7774D2F1" w14:textId="77777777" w:rsidR="000C5CAD" w:rsidRDefault="000C5CAD" w:rsidP="000C5CAD">
      <w:pPr>
        <w:pStyle w:val="BodyText"/>
        <w:spacing w:before="9"/>
        <w:rPr>
          <w:sz w:val="17"/>
        </w:rPr>
      </w:pPr>
    </w:p>
    <w:p w14:paraId="57CD7025" w14:textId="77777777" w:rsidR="000C5CAD" w:rsidRDefault="000C5CAD" w:rsidP="000C5CAD">
      <w:pPr>
        <w:pStyle w:val="BodyText"/>
        <w:spacing w:before="92"/>
        <w:ind w:left="112" w:right="172"/>
      </w:pPr>
      <w:r>
        <w:rPr>
          <w:color w:val="372B45"/>
        </w:rPr>
        <w:t>We reserve the right to</w:t>
      </w:r>
      <w:r>
        <w:rPr>
          <w:color w:val="372B45"/>
          <w:spacing w:val="-1"/>
        </w:rPr>
        <w:t xml:space="preserve"> </w:t>
      </w:r>
      <w:r>
        <w:rPr>
          <w:color w:val="372B45"/>
        </w:rPr>
        <w:t>make changes and improvements to</w:t>
      </w:r>
      <w:r>
        <w:rPr>
          <w:color w:val="372B45"/>
          <w:spacing w:val="-1"/>
        </w:rPr>
        <w:t xml:space="preserve"> </w:t>
      </w:r>
      <w:r>
        <w:rPr>
          <w:color w:val="372B45"/>
        </w:rPr>
        <w:t>any information contained within this document, at any time and without notice.</w:t>
      </w:r>
      <w:r>
        <w:rPr>
          <w:color w:val="372B45"/>
          <w:spacing w:val="40"/>
        </w:rPr>
        <w:t xml:space="preserve"> </w:t>
      </w:r>
      <w:r>
        <w:rPr>
          <w:color w:val="372B45"/>
        </w:rPr>
        <w:t>Where this document contains hyperlinks to other</w:t>
      </w:r>
      <w:r>
        <w:rPr>
          <w:color w:val="372B45"/>
          <w:spacing w:val="-3"/>
        </w:rPr>
        <w:t xml:space="preserve"> </w:t>
      </w:r>
      <w:r>
        <w:rPr>
          <w:color w:val="372B45"/>
        </w:rPr>
        <w:t>websites</w:t>
      </w:r>
      <w:r>
        <w:rPr>
          <w:color w:val="372B45"/>
          <w:spacing w:val="-5"/>
        </w:rPr>
        <w:t xml:space="preserve"> </w:t>
      </w:r>
      <w:r>
        <w:rPr>
          <w:color w:val="372B45"/>
        </w:rPr>
        <w:t>operated</w:t>
      </w:r>
      <w:r>
        <w:rPr>
          <w:color w:val="372B45"/>
          <w:spacing w:val="-3"/>
        </w:rPr>
        <w:t xml:space="preserve"> </w:t>
      </w:r>
      <w:r>
        <w:rPr>
          <w:color w:val="372B45"/>
        </w:rPr>
        <w:t>by</w:t>
      </w:r>
      <w:r>
        <w:rPr>
          <w:color w:val="372B45"/>
          <w:spacing w:val="-5"/>
        </w:rPr>
        <w:t xml:space="preserve"> </w:t>
      </w:r>
      <w:r>
        <w:rPr>
          <w:color w:val="372B45"/>
        </w:rPr>
        <w:t>parties</w:t>
      </w:r>
      <w:r>
        <w:rPr>
          <w:color w:val="372B45"/>
          <w:spacing w:val="-5"/>
        </w:rPr>
        <w:t xml:space="preserve"> </w:t>
      </w:r>
      <w:r>
        <w:rPr>
          <w:color w:val="372B45"/>
        </w:rPr>
        <w:t>not</w:t>
      </w:r>
      <w:r>
        <w:rPr>
          <w:color w:val="372B45"/>
          <w:spacing w:val="-3"/>
        </w:rPr>
        <w:t xml:space="preserve"> </w:t>
      </w:r>
      <w:r>
        <w:rPr>
          <w:color w:val="372B45"/>
        </w:rPr>
        <w:t>connected</w:t>
      </w:r>
      <w:r>
        <w:rPr>
          <w:color w:val="372B45"/>
          <w:spacing w:val="-3"/>
        </w:rPr>
        <w:t xml:space="preserve"> </w:t>
      </w:r>
      <w:r>
        <w:rPr>
          <w:color w:val="372B45"/>
        </w:rPr>
        <w:t>to</w:t>
      </w:r>
      <w:r>
        <w:rPr>
          <w:color w:val="372B45"/>
          <w:spacing w:val="-3"/>
        </w:rPr>
        <w:t xml:space="preserve"> </w:t>
      </w:r>
      <w:r>
        <w:rPr>
          <w:color w:val="372B45"/>
        </w:rPr>
        <w:t>us,</w:t>
      </w:r>
      <w:r>
        <w:rPr>
          <w:color w:val="372B45"/>
          <w:spacing w:val="-3"/>
        </w:rPr>
        <w:t xml:space="preserve"> </w:t>
      </w:r>
      <w:r>
        <w:rPr>
          <w:color w:val="372B45"/>
        </w:rPr>
        <w:t>such</w:t>
      </w:r>
      <w:r>
        <w:rPr>
          <w:color w:val="372B45"/>
          <w:spacing w:val="-3"/>
        </w:rPr>
        <w:t xml:space="preserve"> </w:t>
      </w:r>
      <w:r>
        <w:rPr>
          <w:color w:val="372B45"/>
        </w:rPr>
        <w:t>hyperlinks</w:t>
      </w:r>
      <w:r>
        <w:rPr>
          <w:color w:val="372B45"/>
          <w:spacing w:val="-3"/>
        </w:rPr>
        <w:t xml:space="preserve"> </w:t>
      </w:r>
      <w:r>
        <w:rPr>
          <w:color w:val="372B45"/>
        </w:rPr>
        <w:t>are</w:t>
      </w:r>
      <w:r>
        <w:rPr>
          <w:color w:val="372B45"/>
          <w:spacing w:val="-5"/>
        </w:rPr>
        <w:t xml:space="preserve"> </w:t>
      </w:r>
      <w:r>
        <w:rPr>
          <w:color w:val="372B45"/>
        </w:rPr>
        <w:t>provided</w:t>
      </w:r>
      <w:r>
        <w:rPr>
          <w:color w:val="372B45"/>
          <w:spacing w:val="-3"/>
        </w:rPr>
        <w:t xml:space="preserve"> </w:t>
      </w:r>
      <w:r>
        <w:rPr>
          <w:color w:val="372B45"/>
        </w:rPr>
        <w:t>for</w:t>
      </w:r>
      <w:r>
        <w:rPr>
          <w:color w:val="372B45"/>
          <w:spacing w:val="-3"/>
        </w:rPr>
        <w:t xml:space="preserve"> </w:t>
      </w:r>
      <w:r>
        <w:rPr>
          <w:color w:val="372B45"/>
        </w:rPr>
        <w:t>your reference only.</w:t>
      </w:r>
      <w:r>
        <w:rPr>
          <w:color w:val="372B45"/>
          <w:spacing w:val="40"/>
        </w:rPr>
        <w:t xml:space="preserve"> </w:t>
      </w:r>
      <w:r>
        <w:rPr>
          <w:color w:val="372B45"/>
        </w:rPr>
        <w:t>We do not control such websites and are not responsible for their contents.</w:t>
      </w:r>
    </w:p>
    <w:p w14:paraId="7F541A5F" w14:textId="77777777" w:rsidR="000C5CAD" w:rsidRDefault="000C5CAD" w:rsidP="000C5CAD">
      <w:pPr>
        <w:pStyle w:val="BodyText"/>
        <w:ind w:left="112" w:right="172"/>
      </w:pPr>
      <w:r>
        <w:rPr>
          <w:color w:val="372B45"/>
        </w:rPr>
        <w:t>The inclusion of hyperlinks from this</w:t>
      </w:r>
      <w:r>
        <w:rPr>
          <w:color w:val="372B45"/>
          <w:spacing w:val="-2"/>
        </w:rPr>
        <w:t xml:space="preserve"> </w:t>
      </w:r>
      <w:r>
        <w:rPr>
          <w:color w:val="372B45"/>
        </w:rPr>
        <w:t>document or the website to such websites does not imply any</w:t>
      </w:r>
      <w:r>
        <w:rPr>
          <w:color w:val="372B45"/>
          <w:spacing w:val="-2"/>
        </w:rPr>
        <w:t xml:space="preserve"> </w:t>
      </w:r>
      <w:r>
        <w:rPr>
          <w:color w:val="372B45"/>
        </w:rPr>
        <w:t>endorsement</w:t>
      </w:r>
      <w:r>
        <w:rPr>
          <w:color w:val="372B45"/>
          <w:spacing w:val="-4"/>
        </w:rPr>
        <w:t xml:space="preserve"> </w:t>
      </w:r>
      <w:r>
        <w:rPr>
          <w:color w:val="372B45"/>
        </w:rPr>
        <w:t>of</w:t>
      </w:r>
      <w:r>
        <w:rPr>
          <w:color w:val="372B45"/>
          <w:spacing w:val="-2"/>
        </w:rPr>
        <w:t xml:space="preserve"> </w:t>
      </w:r>
      <w:r>
        <w:rPr>
          <w:color w:val="372B45"/>
        </w:rPr>
        <w:t>the</w:t>
      </w:r>
      <w:r>
        <w:rPr>
          <w:color w:val="372B45"/>
          <w:spacing w:val="-2"/>
        </w:rPr>
        <w:t xml:space="preserve"> </w:t>
      </w:r>
      <w:r>
        <w:rPr>
          <w:color w:val="372B45"/>
        </w:rPr>
        <w:t>material</w:t>
      </w:r>
      <w:r>
        <w:rPr>
          <w:color w:val="372B45"/>
          <w:spacing w:val="-3"/>
        </w:rPr>
        <w:t xml:space="preserve"> </w:t>
      </w:r>
      <w:r>
        <w:rPr>
          <w:color w:val="372B45"/>
        </w:rPr>
        <w:t>on</w:t>
      </w:r>
      <w:r>
        <w:rPr>
          <w:color w:val="372B45"/>
          <w:spacing w:val="-2"/>
        </w:rPr>
        <w:t xml:space="preserve"> </w:t>
      </w:r>
      <w:r>
        <w:rPr>
          <w:color w:val="372B45"/>
        </w:rPr>
        <w:t>such</w:t>
      </w:r>
      <w:r>
        <w:rPr>
          <w:color w:val="372B45"/>
          <w:spacing w:val="-2"/>
        </w:rPr>
        <w:t xml:space="preserve"> </w:t>
      </w:r>
      <w:r>
        <w:rPr>
          <w:color w:val="372B45"/>
        </w:rPr>
        <w:t>websites</w:t>
      </w:r>
      <w:r>
        <w:rPr>
          <w:color w:val="372B45"/>
          <w:spacing w:val="-2"/>
        </w:rPr>
        <w:t xml:space="preserve"> </w:t>
      </w:r>
      <w:r>
        <w:rPr>
          <w:color w:val="372B45"/>
        </w:rPr>
        <w:t>or</w:t>
      </w:r>
      <w:r>
        <w:rPr>
          <w:color w:val="372B45"/>
          <w:spacing w:val="-5"/>
        </w:rPr>
        <w:t xml:space="preserve"> </w:t>
      </w:r>
      <w:r>
        <w:rPr>
          <w:color w:val="372B45"/>
        </w:rPr>
        <w:t>any</w:t>
      </w:r>
      <w:r>
        <w:rPr>
          <w:color w:val="372B45"/>
          <w:spacing w:val="-4"/>
        </w:rPr>
        <w:t xml:space="preserve"> </w:t>
      </w:r>
      <w:r>
        <w:rPr>
          <w:color w:val="372B45"/>
        </w:rPr>
        <w:t>association</w:t>
      </w:r>
      <w:r>
        <w:rPr>
          <w:color w:val="372B45"/>
          <w:spacing w:val="-2"/>
        </w:rPr>
        <w:t xml:space="preserve"> </w:t>
      </w:r>
      <w:r>
        <w:rPr>
          <w:color w:val="372B45"/>
        </w:rPr>
        <w:t>with</w:t>
      </w:r>
      <w:r>
        <w:rPr>
          <w:color w:val="372B45"/>
          <w:spacing w:val="-4"/>
        </w:rPr>
        <w:t xml:space="preserve"> </w:t>
      </w:r>
      <w:r>
        <w:rPr>
          <w:color w:val="372B45"/>
        </w:rPr>
        <w:t>their</w:t>
      </w:r>
      <w:r>
        <w:rPr>
          <w:color w:val="372B45"/>
          <w:spacing w:val="-4"/>
        </w:rPr>
        <w:t xml:space="preserve"> </w:t>
      </w:r>
      <w:r>
        <w:rPr>
          <w:color w:val="372B45"/>
        </w:rPr>
        <w:t>operators.</w:t>
      </w:r>
      <w:r>
        <w:rPr>
          <w:color w:val="372B45"/>
          <w:spacing w:val="40"/>
        </w:rPr>
        <w:t xml:space="preserve"> </w:t>
      </w:r>
      <w:r>
        <w:rPr>
          <w:color w:val="372B45"/>
        </w:rPr>
        <w:t>We accept no responsibility of any nature whatsoever for linked web sites or any information contained in them.</w:t>
      </w:r>
    </w:p>
    <w:p w14:paraId="695E8F73" w14:textId="5884B408" w:rsidR="008B3836" w:rsidRDefault="008B3836">
      <w:pPr>
        <w:rPr>
          <w:b/>
          <w:bCs/>
        </w:rPr>
      </w:pPr>
    </w:p>
    <w:p w14:paraId="7895DE47" w14:textId="58022B41" w:rsidR="008B3836" w:rsidRDefault="008B3836" w:rsidP="00482080">
      <w:pPr>
        <w:jc w:val="both"/>
        <w:rPr>
          <w:b/>
          <w:bCs/>
        </w:rPr>
      </w:pPr>
    </w:p>
    <w:p w14:paraId="664242D0" w14:textId="77777777" w:rsidR="008B3836" w:rsidRDefault="008B3836">
      <w:pPr>
        <w:rPr>
          <w:b/>
          <w:bCs/>
        </w:rPr>
      </w:pPr>
      <w:r>
        <w:rPr>
          <w:b/>
          <w:bCs/>
        </w:rPr>
        <w:br w:type="page"/>
      </w:r>
    </w:p>
    <w:p w14:paraId="2D1D4C3A" w14:textId="77777777" w:rsidR="00E85558" w:rsidRDefault="00E85558" w:rsidP="00482080">
      <w:pPr>
        <w:jc w:val="both"/>
        <w:rPr>
          <w:b/>
          <w:bCs/>
        </w:rPr>
      </w:pPr>
    </w:p>
    <w:p w14:paraId="5169752F" w14:textId="77777777" w:rsidR="00E85558" w:rsidRDefault="00E85558" w:rsidP="00E85558">
      <w:pPr>
        <w:ind w:left="1440"/>
        <w:rPr>
          <w:b/>
          <w:bCs/>
        </w:rPr>
      </w:pPr>
    </w:p>
    <w:p w14:paraId="55C1725A" w14:textId="77777777" w:rsidR="00E85558" w:rsidRDefault="00E85558" w:rsidP="00E85558">
      <w:pPr>
        <w:ind w:left="1440"/>
        <w:rPr>
          <w:b/>
          <w:bCs/>
        </w:rPr>
      </w:pPr>
      <w:r>
        <w:rPr>
          <w:noProof/>
          <w:lang w:eastAsia="en-GB"/>
        </w:rPr>
        <w:drawing>
          <wp:anchor distT="0" distB="0" distL="114300" distR="114300" simplePos="0" relativeHeight="251660288" behindDoc="1" locked="0" layoutInCell="1" allowOverlap="1" wp14:anchorId="2A5D3AB6" wp14:editId="55A223DE">
            <wp:simplePos x="0" y="0"/>
            <wp:positionH relativeFrom="column">
              <wp:posOffset>-995045</wp:posOffset>
            </wp:positionH>
            <wp:positionV relativeFrom="paragraph">
              <wp:posOffset>172258</wp:posOffset>
            </wp:positionV>
            <wp:extent cx="2068830" cy="6694714"/>
            <wp:effectExtent l="0" t="0" r="7620" b="0"/>
            <wp:wrapNone/>
            <wp:docPr id="3" name="Picture 3" descr="C:\Users\lwothers\AppData\Local\Microsoft\Windows\INetCache\Content.Word\NA AT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others\AppData\Local\Microsoft\Windows\INetCache\Content.Word\NA ATTc Logo.jpg"/>
                    <pic:cNvPicPr>
                      <a:picLocks noChangeAspect="1" noChangeArrowheads="1"/>
                    </pic:cNvPicPr>
                  </pic:nvPicPr>
                  <pic:blipFill rotWithShape="1">
                    <a:blip r:embed="rId14">
                      <a:extLst>
                        <a:ext uri="{28A0092B-C50C-407E-A947-70E740481C1C}">
                          <a14:useLocalDpi xmlns:a14="http://schemas.microsoft.com/office/drawing/2010/main" val="0"/>
                        </a:ext>
                      </a:extLst>
                    </a:blip>
                    <a:srcRect b="14662"/>
                    <a:stretch/>
                  </pic:blipFill>
                  <pic:spPr bwMode="auto">
                    <a:xfrm>
                      <a:off x="0" y="0"/>
                      <a:ext cx="2068830" cy="66947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4CBE35" w14:textId="77777777" w:rsidR="00E85558" w:rsidRDefault="00E85558" w:rsidP="00E85558">
      <w:pPr>
        <w:ind w:left="1440"/>
        <w:rPr>
          <w:b/>
          <w:bCs/>
        </w:rPr>
      </w:pPr>
    </w:p>
    <w:p w14:paraId="1029FD74" w14:textId="77777777" w:rsidR="00E85558" w:rsidRDefault="00E85558" w:rsidP="00E85558">
      <w:pPr>
        <w:rPr>
          <w:b/>
          <w:bCs/>
        </w:rPr>
      </w:pPr>
    </w:p>
    <w:p w14:paraId="64C41707" w14:textId="77777777" w:rsidR="000E4FE1" w:rsidRDefault="000E4FE1" w:rsidP="000E4FE1">
      <w:pPr>
        <w:ind w:left="900" w:firstLine="720"/>
        <w:rPr>
          <w:b/>
          <w:bCs/>
          <w:color w:val="672F90"/>
          <w:sz w:val="44"/>
          <w:szCs w:val="44"/>
        </w:rPr>
      </w:pPr>
      <w:r>
        <w:rPr>
          <w:b/>
          <w:bCs/>
          <w:color w:val="672F90"/>
          <w:sz w:val="44"/>
          <w:szCs w:val="44"/>
        </w:rPr>
        <w:t>Institutional Readiness Levels:</w:t>
      </w:r>
    </w:p>
    <w:p w14:paraId="51B4584F" w14:textId="77777777" w:rsidR="000E4FE1" w:rsidRDefault="000E4FE1" w:rsidP="000E4FE1">
      <w:pPr>
        <w:ind w:left="1620"/>
        <w:rPr>
          <w:b/>
          <w:bCs/>
          <w:color w:val="672F90"/>
        </w:rPr>
      </w:pPr>
      <w:r>
        <w:rPr>
          <w:b/>
          <w:bCs/>
          <w:color w:val="672F90"/>
          <w:sz w:val="44"/>
          <w:szCs w:val="44"/>
        </w:rPr>
        <w:t>Site assessment questionnaire</w:t>
      </w:r>
    </w:p>
    <w:p w14:paraId="0EACB6B4" w14:textId="77777777" w:rsidR="000E4FE1" w:rsidRDefault="000E4FE1" w:rsidP="000E4FE1">
      <w:pPr>
        <w:ind w:left="1620"/>
        <w:rPr>
          <w:color w:val="7030A0"/>
        </w:rPr>
      </w:pPr>
      <w:r>
        <w:rPr>
          <w:color w:val="672F90"/>
          <w:sz w:val="28"/>
          <w:szCs w:val="28"/>
        </w:rPr>
        <w:t>Produced by Northern Alliance ATTC.</w:t>
      </w:r>
    </w:p>
    <w:p w14:paraId="12E9CF5D" w14:textId="77777777" w:rsidR="000E4FE1" w:rsidRDefault="000E4FE1" w:rsidP="000E4FE1">
      <w:pPr>
        <w:ind w:left="1620"/>
        <w:jc w:val="both"/>
        <w:rPr>
          <w:sz w:val="28"/>
          <w:szCs w:val="28"/>
        </w:rPr>
      </w:pPr>
      <w:r w:rsidRPr="00E85558">
        <w:rPr>
          <w:sz w:val="28"/>
          <w:szCs w:val="28"/>
        </w:rPr>
        <w:t xml:space="preserve">The Institutional Readiness </w:t>
      </w:r>
      <w:r>
        <w:rPr>
          <w:sz w:val="28"/>
          <w:szCs w:val="28"/>
        </w:rPr>
        <w:t xml:space="preserve">questionnaire </w:t>
      </w:r>
      <w:r w:rsidRPr="00E85558">
        <w:rPr>
          <w:sz w:val="28"/>
          <w:szCs w:val="28"/>
        </w:rPr>
        <w:t>created by NA-ATTC is for use by NHS Clinical Sites to self-assess their own I</w:t>
      </w:r>
      <w:r>
        <w:rPr>
          <w:sz w:val="28"/>
          <w:szCs w:val="28"/>
        </w:rPr>
        <w:t xml:space="preserve">nstitutional </w:t>
      </w:r>
      <w:r w:rsidRPr="00E85558">
        <w:rPr>
          <w:sz w:val="28"/>
          <w:szCs w:val="28"/>
        </w:rPr>
        <w:t>R</w:t>
      </w:r>
      <w:r>
        <w:rPr>
          <w:sz w:val="28"/>
          <w:szCs w:val="28"/>
        </w:rPr>
        <w:t>eadiness</w:t>
      </w:r>
      <w:r w:rsidRPr="00E85558">
        <w:rPr>
          <w:sz w:val="28"/>
          <w:szCs w:val="28"/>
        </w:rPr>
        <w:t xml:space="preserve"> for adoption of ATMPs, both through clinical trials and licensed medicines. The toolkit contains the following documents:</w:t>
      </w:r>
    </w:p>
    <w:p w14:paraId="2EC4F090" w14:textId="77777777" w:rsidR="000E4FE1" w:rsidRPr="00E85558" w:rsidRDefault="000E4FE1" w:rsidP="000E4FE1">
      <w:pPr>
        <w:ind w:left="1620"/>
        <w:jc w:val="both"/>
        <w:rPr>
          <w:sz w:val="28"/>
          <w:szCs w:val="28"/>
        </w:rPr>
      </w:pPr>
      <w:r>
        <w:rPr>
          <w:sz w:val="28"/>
          <w:szCs w:val="28"/>
        </w:rPr>
        <w:tab/>
        <w:t>(A) Introduction and Background</w:t>
      </w:r>
    </w:p>
    <w:p w14:paraId="544D8C9E" w14:textId="77777777" w:rsidR="000E4FE1" w:rsidRPr="00E85558" w:rsidRDefault="000E4FE1" w:rsidP="000E4FE1">
      <w:pPr>
        <w:ind w:left="1620"/>
        <w:jc w:val="both"/>
        <w:rPr>
          <w:sz w:val="28"/>
          <w:szCs w:val="28"/>
        </w:rPr>
      </w:pPr>
      <w:r>
        <w:rPr>
          <w:sz w:val="28"/>
          <w:szCs w:val="28"/>
        </w:rPr>
        <w:tab/>
        <w:t>(B</w:t>
      </w:r>
      <w:r w:rsidRPr="00E85558">
        <w:rPr>
          <w:sz w:val="28"/>
          <w:szCs w:val="28"/>
        </w:rPr>
        <w:t xml:space="preserve">) Work Instructions for Site IR Self - Assessment </w:t>
      </w:r>
    </w:p>
    <w:p w14:paraId="3E186E1A" w14:textId="77777777" w:rsidR="000E4FE1" w:rsidRDefault="000E4FE1" w:rsidP="000E4FE1">
      <w:pPr>
        <w:ind w:left="1620"/>
        <w:jc w:val="both"/>
        <w:rPr>
          <w:sz w:val="28"/>
          <w:szCs w:val="28"/>
        </w:rPr>
      </w:pPr>
      <w:r>
        <w:rPr>
          <w:sz w:val="28"/>
          <w:szCs w:val="28"/>
        </w:rPr>
        <w:tab/>
        <w:t>(C</w:t>
      </w:r>
      <w:r w:rsidRPr="00E85558">
        <w:rPr>
          <w:sz w:val="28"/>
          <w:szCs w:val="28"/>
        </w:rPr>
        <w:t>) Institutional Readiness for ATMP Questionnaire</w:t>
      </w:r>
    </w:p>
    <w:p w14:paraId="4A44BA14" w14:textId="77777777" w:rsidR="000E4FE1" w:rsidRDefault="000E4FE1" w:rsidP="000E4FE1">
      <w:pPr>
        <w:ind w:left="1620"/>
        <w:jc w:val="both"/>
        <w:rPr>
          <w:sz w:val="28"/>
          <w:szCs w:val="28"/>
        </w:rPr>
      </w:pPr>
    </w:p>
    <w:p w14:paraId="49A37AEA" w14:textId="77777777" w:rsidR="000E4FE1" w:rsidRDefault="000E4FE1" w:rsidP="000E4FE1">
      <w:pPr>
        <w:ind w:left="1620"/>
        <w:jc w:val="both"/>
        <w:rPr>
          <w:sz w:val="28"/>
          <w:szCs w:val="28"/>
        </w:rPr>
      </w:pPr>
    </w:p>
    <w:p w14:paraId="1FAF4132" w14:textId="77777777" w:rsidR="000E4FE1" w:rsidRDefault="000E4FE1" w:rsidP="000E4FE1">
      <w:pPr>
        <w:ind w:left="1620"/>
        <w:jc w:val="both"/>
        <w:rPr>
          <w:b/>
          <w:sz w:val="28"/>
          <w:szCs w:val="28"/>
        </w:rPr>
      </w:pPr>
      <w:r>
        <w:rPr>
          <w:sz w:val="28"/>
          <w:szCs w:val="28"/>
        </w:rPr>
        <w:t>April 2021</w:t>
      </w:r>
    </w:p>
    <w:p w14:paraId="2164DB01" w14:textId="77777777" w:rsidR="000E4FE1" w:rsidRDefault="000E4FE1" w:rsidP="000E4FE1">
      <w:pPr>
        <w:rPr>
          <w:sz w:val="24"/>
          <w:szCs w:val="24"/>
          <w:u w:val="single"/>
        </w:rPr>
      </w:pPr>
    </w:p>
    <w:p w14:paraId="08995260" w14:textId="77777777" w:rsidR="00E85558" w:rsidRDefault="00E85558" w:rsidP="007B1154">
      <w:pPr>
        <w:jc w:val="center"/>
        <w:rPr>
          <w:sz w:val="24"/>
          <w:szCs w:val="24"/>
          <w:u w:val="single"/>
        </w:rPr>
      </w:pPr>
    </w:p>
    <w:p w14:paraId="1C11CC7C" w14:textId="77777777" w:rsidR="00E85558" w:rsidRDefault="00E85558" w:rsidP="007B1154">
      <w:pPr>
        <w:jc w:val="center"/>
        <w:rPr>
          <w:sz w:val="24"/>
          <w:szCs w:val="24"/>
          <w:u w:val="single"/>
        </w:rPr>
      </w:pPr>
    </w:p>
    <w:p w14:paraId="71DE84E4" w14:textId="77777777" w:rsidR="00E85558" w:rsidRDefault="00E85558" w:rsidP="007B1154">
      <w:pPr>
        <w:jc w:val="center"/>
        <w:rPr>
          <w:sz w:val="24"/>
          <w:szCs w:val="24"/>
          <w:u w:val="single"/>
        </w:rPr>
      </w:pPr>
    </w:p>
    <w:p w14:paraId="1943173D" w14:textId="31023872" w:rsidR="00EF1504" w:rsidRPr="00482080" w:rsidRDefault="00482080" w:rsidP="00482080">
      <w:r w:rsidRPr="00482080">
        <w:rPr>
          <w:b/>
          <w:noProof/>
          <w:sz w:val="24"/>
          <w:szCs w:val="24"/>
          <w:lang w:eastAsia="en-GB"/>
        </w:rPr>
        <w:drawing>
          <wp:inline distT="0" distB="0" distL="0" distR="0" wp14:anchorId="5DFEDAA3" wp14:editId="473B4721">
            <wp:extent cx="1485900" cy="697843"/>
            <wp:effectExtent l="0" t="0" r="0" b="7620"/>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7939" cy="703497"/>
                    </a:xfrm>
                    <a:prstGeom prst="rect">
                      <a:avLst/>
                    </a:prstGeom>
                  </pic:spPr>
                </pic:pic>
              </a:graphicData>
            </a:graphic>
          </wp:inline>
        </w:drawing>
      </w:r>
      <w:r>
        <w:tab/>
      </w:r>
      <w:r>
        <w:tab/>
      </w:r>
      <w:r>
        <w:tab/>
      </w:r>
      <w:r>
        <w:tab/>
      </w:r>
      <w:r>
        <w:tab/>
      </w:r>
      <w:r>
        <w:tab/>
      </w:r>
      <w:r>
        <w:rPr>
          <w:noProof/>
          <w:lang w:eastAsia="en-GB"/>
        </w:rPr>
        <w:drawing>
          <wp:inline distT="0" distB="0" distL="0" distR="0" wp14:anchorId="25FE15FA" wp14:editId="3B86AA10">
            <wp:extent cx="1504950" cy="632926"/>
            <wp:effectExtent l="0" t="0" r="0" b="0"/>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24053" cy="640960"/>
                    </a:xfrm>
                    <a:prstGeom prst="rect">
                      <a:avLst/>
                    </a:prstGeom>
                  </pic:spPr>
                </pic:pic>
              </a:graphicData>
            </a:graphic>
          </wp:inline>
        </w:drawing>
      </w:r>
    </w:p>
    <w:p w14:paraId="22751901" w14:textId="0C865A4E" w:rsidR="00DD2B8B" w:rsidRPr="00320A6A" w:rsidRDefault="00FC7D77" w:rsidP="00340670">
      <w:pPr>
        <w:jc w:val="both"/>
        <w:rPr>
          <w:b/>
          <w:color w:val="7030A0"/>
          <w:sz w:val="24"/>
          <w:szCs w:val="24"/>
          <w:u w:val="single"/>
        </w:rPr>
      </w:pPr>
      <w:r w:rsidRPr="00320A6A">
        <w:rPr>
          <w:b/>
          <w:color w:val="7030A0"/>
          <w:sz w:val="24"/>
          <w:szCs w:val="24"/>
          <w:u w:val="single"/>
        </w:rPr>
        <w:lastRenderedPageBreak/>
        <w:t>(A) Introduction and Background</w:t>
      </w:r>
    </w:p>
    <w:p w14:paraId="246AB9A4" w14:textId="77777777" w:rsidR="000E4FE1" w:rsidRDefault="000E4FE1" w:rsidP="000E4FE1">
      <w:pPr>
        <w:jc w:val="both"/>
        <w:rPr>
          <w:iCs/>
        </w:rPr>
      </w:pPr>
      <w:r>
        <w:t>It is recognised that successful adoption of ATMPs requires</w:t>
      </w:r>
      <w:r w:rsidRPr="004154DB">
        <w:t xml:space="preserve"> NHS </w:t>
      </w:r>
      <w:r>
        <w:t>Trusts / Boards</w:t>
      </w:r>
      <w:r w:rsidRPr="004154DB">
        <w:t xml:space="preserve"> to be able to adapt their skills, </w:t>
      </w:r>
      <w:proofErr w:type="gramStart"/>
      <w:r w:rsidRPr="004154DB">
        <w:t>processes</w:t>
      </w:r>
      <w:proofErr w:type="gramEnd"/>
      <w:r w:rsidRPr="004154DB">
        <w:t xml:space="preserve"> and practices </w:t>
      </w:r>
      <w:r>
        <w:t xml:space="preserve">at an institutional level. Institutional Readiness (IR) has been suggested as a means of assessing the capacity of an institution to adopt new technologies. Within the context of healthcare, IR can be defined as; </w:t>
      </w:r>
      <w:r w:rsidRPr="00E76C6E">
        <w:rPr>
          <w:i/>
          <w:iCs/>
        </w:rPr>
        <w:t>"Whether, and if so, how far, an organi</w:t>
      </w:r>
      <w:r>
        <w:rPr>
          <w:i/>
          <w:iCs/>
        </w:rPr>
        <w:t>s</w:t>
      </w:r>
      <w:r w:rsidRPr="00E76C6E">
        <w:rPr>
          <w:i/>
          <w:iCs/>
        </w:rPr>
        <w:t xml:space="preserve">ation needs to adapt to embrace a new technology".  </w:t>
      </w:r>
      <w:r>
        <w:t xml:space="preserve">Gardner, </w:t>
      </w:r>
      <w:proofErr w:type="gramStart"/>
      <w:r>
        <w:t>Webster</w:t>
      </w:r>
      <w:proofErr w:type="gramEnd"/>
      <w:r>
        <w:t xml:space="preserve"> and Barry (2018) discuss the </w:t>
      </w:r>
      <w:r w:rsidRPr="00EB2BA0">
        <w:t xml:space="preserve">concept of IR in </w:t>
      </w:r>
      <w:r>
        <w:t>depth and</w:t>
      </w:r>
      <w:r w:rsidRPr="00EB2BA0">
        <w:t xml:space="preserve"> examine the challenges of implementing regenerative medicine (RM) therapies within hospitals and clinics</w:t>
      </w:r>
      <w:r>
        <w:t xml:space="preserve">. </w:t>
      </w:r>
      <w:r w:rsidRPr="00EB2BA0">
        <w:t xml:space="preserve"> </w:t>
      </w:r>
      <w:r>
        <w:t>They also</w:t>
      </w:r>
      <w:r w:rsidRPr="00EB2BA0">
        <w:t xml:space="preserve"> highlight dynamics within existing healthcare systems that will present both hindrances and affordances for the implementation of new RM technologies within hospitals and clinics</w:t>
      </w:r>
      <w:r>
        <w:t xml:space="preserve"> </w:t>
      </w:r>
      <w:r w:rsidRPr="00EB2BA0">
        <w:rPr>
          <w:vertAlign w:val="superscript"/>
        </w:rPr>
        <w:t>[1]</w:t>
      </w:r>
      <w:r w:rsidRPr="00EB2BA0">
        <w:t>.</w:t>
      </w:r>
      <w:r w:rsidRPr="00F452C3">
        <w:rPr>
          <w:iCs/>
        </w:rPr>
        <w:t xml:space="preserve"> </w:t>
      </w:r>
    </w:p>
    <w:p w14:paraId="2D608160" w14:textId="77777777" w:rsidR="000E4FE1" w:rsidRDefault="000E4FE1" w:rsidP="000E4FE1">
      <w:pPr>
        <w:jc w:val="both"/>
        <w:rPr>
          <w:iCs/>
        </w:rPr>
      </w:pPr>
      <w:r>
        <w:t>An IR Working Group consisting of stakeholders from each of the NA-ATTC clinical sites was established to develop a tool to assess IR based on previous work in the technology industry</w:t>
      </w:r>
      <w:r w:rsidRPr="001324C6">
        <w:rPr>
          <w:vertAlign w:val="superscript"/>
        </w:rPr>
        <w:t xml:space="preserve"> [1]</w:t>
      </w:r>
      <w:r>
        <w:t xml:space="preserve">. Using the table of criteria for </w:t>
      </w:r>
      <w:r w:rsidRPr="00121FFA">
        <w:t xml:space="preserve">assessing the </w:t>
      </w:r>
      <w:r>
        <w:t>IR</w:t>
      </w:r>
      <w:r w:rsidRPr="00121FFA">
        <w:t xml:space="preserve"> of clinical delivery sites for </w:t>
      </w:r>
      <w:r>
        <w:t>RM</w:t>
      </w:r>
      <w:r w:rsidRPr="00121FFA">
        <w:t xml:space="preserve"> therapies</w:t>
      </w:r>
      <w:r>
        <w:t xml:space="preserve"> within the paper as a basis </w:t>
      </w:r>
      <w:r w:rsidRPr="00EB2BA0">
        <w:rPr>
          <w:vertAlign w:val="superscript"/>
        </w:rPr>
        <w:t>[1</w:t>
      </w:r>
      <w:proofErr w:type="gramStart"/>
      <w:r w:rsidRPr="00EB2BA0">
        <w:rPr>
          <w:vertAlign w:val="superscript"/>
        </w:rPr>
        <w:t>]</w:t>
      </w:r>
      <w:r>
        <w:t>, and</w:t>
      </w:r>
      <w:proofErr w:type="gramEnd"/>
      <w:r>
        <w:t xml:space="preserve"> following a workshop with support from Prof Andrew Webster </w:t>
      </w:r>
      <w:r w:rsidRPr="00EB2BA0">
        <w:rPr>
          <w:vertAlign w:val="superscript"/>
        </w:rPr>
        <w:t>[1]</w:t>
      </w:r>
      <w:r>
        <w:t>, NA-ATTC developed a questionnaire for its clinical delivery sites to self-assess their own IR for Advanced Therapies.  The group agreed criteria against which IR was assessed which illustrated the breadth of IR that is necessary for successful adoption of ATMPs.  IR was self-assessed by clinical sites for four exemplar products that were chosen to illustrate IR across the different classifications of ATMP.</w:t>
      </w:r>
    </w:p>
    <w:p w14:paraId="6A500D93" w14:textId="3CCF20CF" w:rsidR="000E4FE1" w:rsidRPr="0060646F" w:rsidRDefault="000E4FE1" w:rsidP="000E4FE1">
      <w:pPr>
        <w:spacing w:after="0"/>
        <w:jc w:val="both"/>
        <w:rPr>
          <w:rFonts w:ascii="Calibri" w:hAnsi="Calibri"/>
          <w:shd w:val="clear" w:color="auto" w:fill="FFFFFF"/>
        </w:rPr>
      </w:pPr>
      <w:r w:rsidRPr="0060646F">
        <w:rPr>
          <w:rFonts w:ascii="Calibri" w:hAnsi="Calibri"/>
          <w:shd w:val="clear" w:color="auto" w:fill="FFFFFF"/>
        </w:rPr>
        <w:t>This user-validated tool has been </w:t>
      </w:r>
      <w:r w:rsidRPr="0060646F">
        <w:rPr>
          <w:rFonts w:ascii="Calibri" w:hAnsi="Calibri"/>
          <w:bdr w:val="none" w:sz="0" w:space="0" w:color="auto" w:frame="1"/>
          <w:shd w:val="clear" w:color="auto" w:fill="FFFFFF"/>
        </w:rPr>
        <w:t>developed</w:t>
      </w:r>
      <w:r w:rsidR="00C705BE">
        <w:rPr>
          <w:rFonts w:ascii="Calibri" w:hAnsi="Calibri"/>
          <w:shd w:val="clear" w:color="auto" w:fill="FFFFFF"/>
        </w:rPr>
        <w:t> for use by </w:t>
      </w:r>
      <w:r w:rsidRPr="0060646F">
        <w:rPr>
          <w:rFonts w:ascii="Calibri" w:hAnsi="Calibri"/>
          <w:shd w:val="clear" w:color="auto" w:fill="FFFFFF"/>
        </w:rPr>
        <w:t>clinical site</w:t>
      </w:r>
      <w:r w:rsidRPr="0060646F">
        <w:rPr>
          <w:rFonts w:ascii="Calibri" w:hAnsi="Calibri"/>
          <w:bdr w:val="none" w:sz="0" w:space="0" w:color="auto" w:frame="1"/>
          <w:shd w:val="clear" w:color="auto" w:fill="FFFFFF"/>
        </w:rPr>
        <w:t>s</w:t>
      </w:r>
      <w:r w:rsidRPr="0060646F">
        <w:rPr>
          <w:rFonts w:ascii="Calibri" w:hAnsi="Calibri"/>
          <w:shd w:val="clear" w:color="auto" w:fill="FFFFFF"/>
        </w:rPr>
        <w:t> with aspirations to deliver ATMPs. </w:t>
      </w:r>
      <w:r w:rsidRPr="0060646F">
        <w:rPr>
          <w:rFonts w:ascii="Calibri" w:hAnsi="Calibri"/>
          <w:bdr w:val="none" w:sz="0" w:space="0" w:color="auto" w:frame="1"/>
          <w:shd w:val="clear" w:color="auto" w:fill="FFFFFF"/>
        </w:rPr>
        <w:t xml:space="preserve"> This work was led </w:t>
      </w:r>
      <w:r w:rsidRPr="0060646F">
        <w:rPr>
          <w:rFonts w:ascii="Calibri" w:hAnsi="Calibri"/>
          <w:shd w:val="clear" w:color="auto" w:fill="FFFFFF"/>
        </w:rPr>
        <w:t xml:space="preserve">by Ewan Morrison, Director of Pharmacy (NHS National Services Scotland) and </w:t>
      </w:r>
      <w:proofErr w:type="spellStart"/>
      <w:r w:rsidRPr="0060646F">
        <w:rPr>
          <w:rFonts w:ascii="Calibri" w:hAnsi="Calibri"/>
          <w:shd w:val="clear" w:color="auto" w:fill="FFFFFF"/>
        </w:rPr>
        <w:t>Ruaridh</w:t>
      </w:r>
      <w:proofErr w:type="spellEnd"/>
      <w:r w:rsidRPr="0060646F">
        <w:rPr>
          <w:rFonts w:ascii="Calibri" w:hAnsi="Calibri"/>
          <w:shd w:val="clear" w:color="auto" w:fill="FFFFFF"/>
        </w:rPr>
        <w:t xml:space="preserve"> Buchan, Senior Clinical Trials Pharmacist (NHS Lothian) on behalf of the Northern Alliance Advanced Therapies Treatment Centre programme</w:t>
      </w:r>
      <w:r w:rsidRPr="0060646F">
        <w:rPr>
          <w:rFonts w:ascii="Calibri" w:hAnsi="Calibri"/>
          <w:bdr w:val="none" w:sz="0" w:space="0" w:color="auto" w:frame="1"/>
          <w:shd w:val="clear" w:color="auto" w:fill="FFFFFF"/>
        </w:rPr>
        <w:t xml:space="preserve">, in collaboration with Newcastle </w:t>
      </w:r>
      <w:r w:rsidR="00E80A10">
        <w:rPr>
          <w:rFonts w:ascii="Calibri" w:hAnsi="Calibri"/>
          <w:bdr w:val="none" w:sz="0" w:space="0" w:color="auto" w:frame="1"/>
          <w:shd w:val="clear" w:color="auto" w:fill="FFFFFF"/>
        </w:rPr>
        <w:t xml:space="preserve">upon Tyne </w:t>
      </w:r>
      <w:r w:rsidRPr="0060646F">
        <w:rPr>
          <w:rFonts w:ascii="Calibri" w:hAnsi="Calibri"/>
          <w:bdr w:val="none" w:sz="0" w:space="0" w:color="auto" w:frame="1"/>
          <w:shd w:val="clear" w:color="auto" w:fill="FFFFFF"/>
        </w:rPr>
        <w:t xml:space="preserve">Hospitals NHS </w:t>
      </w:r>
      <w:r w:rsidR="00E80A10">
        <w:rPr>
          <w:rFonts w:ascii="Calibri" w:hAnsi="Calibri"/>
          <w:bdr w:val="none" w:sz="0" w:space="0" w:color="auto" w:frame="1"/>
          <w:shd w:val="clear" w:color="auto" w:fill="FFFFFF"/>
        </w:rPr>
        <w:t xml:space="preserve">Foundation </w:t>
      </w:r>
      <w:r w:rsidRPr="0060646F">
        <w:rPr>
          <w:rFonts w:ascii="Calibri" w:hAnsi="Calibri"/>
          <w:bdr w:val="none" w:sz="0" w:space="0" w:color="auto" w:frame="1"/>
          <w:shd w:val="clear" w:color="auto" w:fill="FFFFFF"/>
        </w:rPr>
        <w:t>Trust, NHS Greater Glasgow and Clyde, Leeds Teaching Hospitals NHS Trust and NHS Lothian</w:t>
      </w:r>
      <w:r w:rsidRPr="0060646F">
        <w:rPr>
          <w:rFonts w:ascii="Calibri" w:hAnsi="Calibri"/>
          <w:shd w:val="clear" w:color="auto" w:fill="FFFFFF"/>
        </w:rPr>
        <w:t>.</w:t>
      </w:r>
    </w:p>
    <w:p w14:paraId="1C25A81B" w14:textId="77777777" w:rsidR="000E4FE1" w:rsidRDefault="000E4FE1" w:rsidP="000E4FE1">
      <w:pPr>
        <w:spacing w:after="0"/>
        <w:jc w:val="both"/>
        <w:rPr>
          <w:rFonts w:ascii="Calibri" w:hAnsi="Calibri"/>
          <w:color w:val="201F1E"/>
          <w:shd w:val="clear" w:color="auto" w:fill="FFFFFF"/>
        </w:rPr>
      </w:pPr>
    </w:p>
    <w:p w14:paraId="6BAED645" w14:textId="77777777" w:rsidR="000E4FE1" w:rsidRDefault="000E4FE1" w:rsidP="000E4FE1">
      <w:pPr>
        <w:spacing w:after="0"/>
        <w:jc w:val="both"/>
        <w:rPr>
          <w:rFonts w:cstheme="minorHAnsi"/>
          <w:color w:val="222222"/>
          <w:shd w:val="clear" w:color="auto" w:fill="FFFFFF"/>
        </w:rPr>
      </w:pPr>
      <w:r w:rsidRPr="00340670">
        <w:rPr>
          <w:b/>
          <w:i/>
        </w:rPr>
        <w:t>Reference:</w:t>
      </w:r>
      <w:r>
        <w:rPr>
          <w:b/>
          <w:i/>
        </w:rPr>
        <w:t xml:space="preserve"> </w:t>
      </w:r>
      <w:r w:rsidRPr="00BB78B3">
        <w:rPr>
          <w:rFonts w:cstheme="minorHAnsi"/>
        </w:rPr>
        <w:t xml:space="preserve">[1] </w:t>
      </w:r>
      <w:r w:rsidRPr="00661F98">
        <w:rPr>
          <w:rFonts w:cstheme="minorHAnsi"/>
          <w:color w:val="222222"/>
          <w:shd w:val="clear" w:color="auto" w:fill="FFFFFF"/>
        </w:rPr>
        <w:t>Gardner J, Webster A, Barry J. Anticipating the clinical adoption of regenerative medicine: building institutional readiness in the UK. Regenerative medicine. 2018 Jan;13(1):29-39.</w:t>
      </w:r>
    </w:p>
    <w:p w14:paraId="5CB36C7E" w14:textId="77777777" w:rsidR="00EF1504" w:rsidRDefault="00EF1504" w:rsidP="00EF1504">
      <w:pPr>
        <w:jc w:val="both"/>
        <w:rPr>
          <w:rFonts w:cstheme="minorHAnsi"/>
          <w:color w:val="222222"/>
          <w:shd w:val="clear" w:color="auto" w:fill="FFFFFF"/>
        </w:rPr>
      </w:pPr>
    </w:p>
    <w:p w14:paraId="106CB44A" w14:textId="0772DDCB" w:rsidR="004C143B" w:rsidRPr="00320A6A" w:rsidRDefault="00FC7D77" w:rsidP="00EF1504">
      <w:pPr>
        <w:jc w:val="both"/>
        <w:rPr>
          <w:rFonts w:cstheme="minorHAnsi"/>
          <w:color w:val="7030A0"/>
          <w:shd w:val="clear" w:color="auto" w:fill="FFFFFF"/>
        </w:rPr>
      </w:pPr>
      <w:r w:rsidRPr="00320A6A">
        <w:rPr>
          <w:b/>
          <w:color w:val="7030A0"/>
          <w:u w:val="single"/>
        </w:rPr>
        <w:t>(B</w:t>
      </w:r>
      <w:r w:rsidR="00AC193C" w:rsidRPr="00320A6A">
        <w:rPr>
          <w:b/>
          <w:color w:val="7030A0"/>
          <w:u w:val="single"/>
        </w:rPr>
        <w:t xml:space="preserve">) </w:t>
      </w:r>
      <w:r w:rsidR="004C143B" w:rsidRPr="00320A6A">
        <w:rPr>
          <w:b/>
          <w:color w:val="7030A0"/>
          <w:u w:val="single"/>
        </w:rPr>
        <w:t>Work Instructions</w:t>
      </w:r>
      <w:r w:rsidR="003B5178" w:rsidRPr="00320A6A">
        <w:rPr>
          <w:b/>
          <w:color w:val="7030A0"/>
          <w:u w:val="single"/>
        </w:rPr>
        <w:t xml:space="preserve"> for </w:t>
      </w:r>
      <w:r w:rsidR="00247133" w:rsidRPr="00320A6A">
        <w:rPr>
          <w:b/>
          <w:color w:val="7030A0"/>
          <w:u w:val="single"/>
        </w:rPr>
        <w:t xml:space="preserve">Site </w:t>
      </w:r>
      <w:r w:rsidR="003B5178" w:rsidRPr="00320A6A">
        <w:rPr>
          <w:b/>
          <w:color w:val="7030A0"/>
          <w:u w:val="single"/>
        </w:rPr>
        <w:t xml:space="preserve">IR </w:t>
      </w:r>
      <w:r w:rsidR="00247133" w:rsidRPr="00320A6A">
        <w:rPr>
          <w:b/>
          <w:color w:val="7030A0"/>
          <w:u w:val="single"/>
        </w:rPr>
        <w:t xml:space="preserve">Self - </w:t>
      </w:r>
      <w:r w:rsidR="003B5178" w:rsidRPr="00320A6A">
        <w:rPr>
          <w:b/>
          <w:color w:val="7030A0"/>
          <w:u w:val="single"/>
        </w:rPr>
        <w:t>Assessment Exercise</w:t>
      </w:r>
    </w:p>
    <w:p w14:paraId="69F3C853" w14:textId="77777777" w:rsidR="000E4FE1" w:rsidRDefault="000E4FE1" w:rsidP="000E4FE1">
      <w:pPr>
        <w:pStyle w:val="ListParagraph"/>
        <w:numPr>
          <w:ilvl w:val="0"/>
          <w:numId w:val="6"/>
        </w:numPr>
        <w:jc w:val="both"/>
      </w:pPr>
      <w:r>
        <w:t xml:space="preserve">Identify coordinator(s) within the NHS institution who will be responsible for identifying and convening the assessment panel, </w:t>
      </w:r>
      <w:proofErr w:type="gramStart"/>
      <w:r>
        <w:t>collating</w:t>
      </w:r>
      <w:proofErr w:type="gramEnd"/>
      <w:r>
        <w:t xml:space="preserve"> and interpreting the completed questionnaire and summarising key actions following assessment.</w:t>
      </w:r>
    </w:p>
    <w:p w14:paraId="4859197A" w14:textId="77777777" w:rsidR="000E4FE1" w:rsidRPr="005F753B" w:rsidRDefault="000E4FE1" w:rsidP="000E4FE1">
      <w:pPr>
        <w:pStyle w:val="ListParagraph"/>
        <w:ind w:left="360"/>
        <w:jc w:val="both"/>
      </w:pPr>
    </w:p>
    <w:p w14:paraId="1D334ACB" w14:textId="77777777" w:rsidR="000E4FE1" w:rsidRDefault="000E4FE1" w:rsidP="000E4FE1">
      <w:pPr>
        <w:pStyle w:val="ListParagraph"/>
        <w:numPr>
          <w:ilvl w:val="0"/>
          <w:numId w:val="6"/>
        </w:numPr>
        <w:jc w:val="both"/>
      </w:pPr>
      <w:r>
        <w:t>Identify key stakeholders within NHS institution with expertise in clinical delivery or professional interest in each class of ATMP to form an assessment panel. Suggested stakeholders include, but are not limited to:</w:t>
      </w:r>
    </w:p>
    <w:tbl>
      <w:tblPr>
        <w:tblStyle w:val="TableGrid"/>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4961"/>
      </w:tblGrid>
      <w:tr w:rsidR="000E4FE1" w14:paraId="2E2A6C87" w14:textId="77777777" w:rsidTr="00155464">
        <w:tc>
          <w:tcPr>
            <w:tcW w:w="3685" w:type="dxa"/>
          </w:tcPr>
          <w:p w14:paraId="53C90FAF" w14:textId="77777777" w:rsidR="000E4FE1" w:rsidRDefault="000E4FE1" w:rsidP="00155464">
            <w:pPr>
              <w:pStyle w:val="ListParagraph"/>
              <w:numPr>
                <w:ilvl w:val="0"/>
                <w:numId w:val="12"/>
              </w:numPr>
              <w:ind w:left="463"/>
            </w:pPr>
            <w:r>
              <w:t>Stem cell laboratories</w:t>
            </w:r>
          </w:p>
        </w:tc>
        <w:tc>
          <w:tcPr>
            <w:tcW w:w="4961" w:type="dxa"/>
          </w:tcPr>
          <w:p w14:paraId="636B806B" w14:textId="77777777" w:rsidR="000E4FE1" w:rsidRDefault="000E4FE1" w:rsidP="00155464">
            <w:pPr>
              <w:pStyle w:val="ListParagraph"/>
              <w:numPr>
                <w:ilvl w:val="0"/>
                <w:numId w:val="12"/>
              </w:numPr>
              <w:ind w:left="458"/>
            </w:pPr>
            <w:r>
              <w:t>Pharmacy</w:t>
            </w:r>
          </w:p>
        </w:tc>
      </w:tr>
      <w:tr w:rsidR="000E4FE1" w14:paraId="6E2E63B7" w14:textId="77777777" w:rsidTr="00155464">
        <w:tc>
          <w:tcPr>
            <w:tcW w:w="3685" w:type="dxa"/>
          </w:tcPr>
          <w:p w14:paraId="2C9240D9" w14:textId="77777777" w:rsidR="000E4FE1" w:rsidRDefault="000E4FE1" w:rsidP="00155464">
            <w:pPr>
              <w:pStyle w:val="ListParagraph"/>
              <w:numPr>
                <w:ilvl w:val="0"/>
                <w:numId w:val="12"/>
              </w:numPr>
              <w:ind w:left="463"/>
            </w:pPr>
            <w:r>
              <w:t>Appropriate clinical delivery team</w:t>
            </w:r>
          </w:p>
        </w:tc>
        <w:tc>
          <w:tcPr>
            <w:tcW w:w="4961" w:type="dxa"/>
          </w:tcPr>
          <w:p w14:paraId="01CE9B74" w14:textId="77777777" w:rsidR="000E4FE1" w:rsidRDefault="000E4FE1" w:rsidP="00155464">
            <w:pPr>
              <w:pStyle w:val="ListParagraph"/>
              <w:numPr>
                <w:ilvl w:val="0"/>
                <w:numId w:val="12"/>
              </w:numPr>
              <w:ind w:left="458"/>
            </w:pPr>
            <w:r>
              <w:t>Support departments (</w:t>
            </w:r>
            <w:proofErr w:type="gramStart"/>
            <w:r>
              <w:t>e.g.</w:t>
            </w:r>
            <w:proofErr w:type="gramEnd"/>
            <w:r>
              <w:t xml:space="preserve"> ITU, Neurology, Apheresis)</w:t>
            </w:r>
          </w:p>
        </w:tc>
      </w:tr>
      <w:tr w:rsidR="000E4FE1" w14:paraId="6DCC386B" w14:textId="77777777" w:rsidTr="00155464">
        <w:tc>
          <w:tcPr>
            <w:tcW w:w="3685" w:type="dxa"/>
          </w:tcPr>
          <w:p w14:paraId="04B454A1" w14:textId="77777777" w:rsidR="000E4FE1" w:rsidRDefault="000E4FE1" w:rsidP="00155464">
            <w:pPr>
              <w:pStyle w:val="ListParagraph"/>
              <w:numPr>
                <w:ilvl w:val="0"/>
                <w:numId w:val="12"/>
              </w:numPr>
              <w:ind w:left="463"/>
            </w:pPr>
            <w:r>
              <w:t xml:space="preserve">Directorate/Trust/Board management </w:t>
            </w:r>
          </w:p>
        </w:tc>
        <w:tc>
          <w:tcPr>
            <w:tcW w:w="4961" w:type="dxa"/>
          </w:tcPr>
          <w:p w14:paraId="151F5352" w14:textId="77777777" w:rsidR="000E4FE1" w:rsidRDefault="000E4FE1" w:rsidP="00155464">
            <w:pPr>
              <w:pStyle w:val="ListParagraph"/>
              <w:numPr>
                <w:ilvl w:val="0"/>
                <w:numId w:val="12"/>
              </w:numPr>
              <w:ind w:left="458"/>
            </w:pPr>
            <w:r>
              <w:t>Research &amp; Development departments</w:t>
            </w:r>
          </w:p>
        </w:tc>
      </w:tr>
      <w:tr w:rsidR="000E4FE1" w14:paraId="02BE3759" w14:textId="77777777" w:rsidTr="00155464">
        <w:tc>
          <w:tcPr>
            <w:tcW w:w="3685" w:type="dxa"/>
          </w:tcPr>
          <w:p w14:paraId="4E9D5396" w14:textId="77777777" w:rsidR="000E4FE1" w:rsidRDefault="000E4FE1" w:rsidP="00155464">
            <w:pPr>
              <w:pStyle w:val="ListParagraph"/>
              <w:numPr>
                <w:ilvl w:val="0"/>
                <w:numId w:val="12"/>
              </w:numPr>
              <w:ind w:left="463"/>
            </w:pPr>
            <w:r>
              <w:lastRenderedPageBreak/>
              <w:t>Ward managers</w:t>
            </w:r>
          </w:p>
        </w:tc>
        <w:tc>
          <w:tcPr>
            <w:tcW w:w="4961" w:type="dxa"/>
          </w:tcPr>
          <w:p w14:paraId="049C7EEF" w14:textId="77777777" w:rsidR="000E4FE1" w:rsidRDefault="000E4FE1" w:rsidP="00155464">
            <w:pPr>
              <w:pStyle w:val="ListParagraph"/>
              <w:numPr>
                <w:ilvl w:val="0"/>
                <w:numId w:val="12"/>
              </w:numPr>
              <w:ind w:left="458"/>
            </w:pPr>
            <w:r>
              <w:t>HTA Licence Holder Designated Individual</w:t>
            </w:r>
          </w:p>
        </w:tc>
      </w:tr>
      <w:tr w:rsidR="000E4FE1" w14:paraId="24FCAACF" w14:textId="77777777" w:rsidTr="00155464">
        <w:tc>
          <w:tcPr>
            <w:tcW w:w="3685" w:type="dxa"/>
          </w:tcPr>
          <w:p w14:paraId="565DFE5D" w14:textId="77777777" w:rsidR="000E4FE1" w:rsidRDefault="000E4FE1" w:rsidP="00155464">
            <w:pPr>
              <w:pStyle w:val="ListParagraph"/>
              <w:numPr>
                <w:ilvl w:val="0"/>
                <w:numId w:val="12"/>
              </w:numPr>
              <w:ind w:left="463"/>
            </w:pPr>
            <w:r>
              <w:t>Quality management teams</w:t>
            </w:r>
          </w:p>
        </w:tc>
        <w:tc>
          <w:tcPr>
            <w:tcW w:w="4961" w:type="dxa"/>
          </w:tcPr>
          <w:p w14:paraId="6EF415FE" w14:textId="77777777" w:rsidR="000E4FE1" w:rsidRDefault="000E4FE1" w:rsidP="00155464">
            <w:pPr>
              <w:pStyle w:val="ListParagraph"/>
              <w:numPr>
                <w:ilvl w:val="0"/>
                <w:numId w:val="12"/>
              </w:numPr>
              <w:ind w:left="458"/>
            </w:pPr>
            <w:r>
              <w:t>Financial management teams</w:t>
            </w:r>
          </w:p>
        </w:tc>
      </w:tr>
    </w:tbl>
    <w:p w14:paraId="0C2531FB" w14:textId="77777777" w:rsidR="00C705BE" w:rsidRDefault="00C705BE" w:rsidP="00C705BE">
      <w:pPr>
        <w:pStyle w:val="ListParagraph"/>
        <w:ind w:left="360"/>
        <w:jc w:val="both"/>
      </w:pPr>
    </w:p>
    <w:p w14:paraId="64D3E722" w14:textId="0F10A20B" w:rsidR="000E4FE1" w:rsidRDefault="000E4FE1" w:rsidP="000E4FE1">
      <w:pPr>
        <w:pStyle w:val="ListParagraph"/>
        <w:numPr>
          <w:ilvl w:val="0"/>
          <w:numId w:val="6"/>
        </w:numPr>
        <w:jc w:val="both"/>
      </w:pPr>
      <w:r>
        <w:t xml:space="preserve">Supporting documentation should be highlighted including selected Summary of Product Characteristics from the relevant class of products. The four classes of ATMPs are Virus based gene therapy, Cell based gene therapy, Somatic cell therapy and Tissue engineered products. These documents should be circulated to the assessment panel ahead of meeting </w:t>
      </w:r>
      <w:proofErr w:type="gramStart"/>
      <w:r>
        <w:t>in order for</w:t>
      </w:r>
      <w:proofErr w:type="gramEnd"/>
      <w:r>
        <w:t xml:space="preserve"> members to familiarise themselves with the assessment process and classes of ATMP. </w:t>
      </w:r>
    </w:p>
    <w:p w14:paraId="3056F4B8" w14:textId="77777777" w:rsidR="000E4FE1" w:rsidRDefault="000E4FE1" w:rsidP="000E4FE1">
      <w:pPr>
        <w:pStyle w:val="ListParagraph"/>
        <w:ind w:left="360"/>
        <w:jc w:val="both"/>
      </w:pPr>
    </w:p>
    <w:p w14:paraId="12F709DE" w14:textId="77777777" w:rsidR="000E4FE1" w:rsidRDefault="000E4FE1" w:rsidP="000E4FE1">
      <w:pPr>
        <w:pStyle w:val="ListParagraph"/>
        <w:numPr>
          <w:ilvl w:val="0"/>
          <w:numId w:val="6"/>
        </w:numPr>
        <w:jc w:val="both"/>
      </w:pPr>
      <w:r>
        <w:t>Convene panel to assess Institutional Readiness according to the criteria listed in the questionnaire against the four ATMP classes or ATMP class(es) of interest. Each criterion should be rated as follows:</w:t>
      </w:r>
    </w:p>
    <w:p w14:paraId="2A424704" w14:textId="77777777" w:rsidR="000E4FE1" w:rsidRDefault="000E4FE1" w:rsidP="000E4FE1">
      <w:pPr>
        <w:pStyle w:val="ListParagraph"/>
        <w:numPr>
          <w:ilvl w:val="0"/>
          <w:numId w:val="4"/>
        </w:numPr>
        <w:ind w:left="1080"/>
        <w:jc w:val="both"/>
      </w:pPr>
      <w:r>
        <w:t>Red – not started at site</w:t>
      </w:r>
    </w:p>
    <w:p w14:paraId="4BAB353A" w14:textId="77777777" w:rsidR="000E4FE1" w:rsidRDefault="000E4FE1" w:rsidP="000E4FE1">
      <w:pPr>
        <w:pStyle w:val="ListParagraph"/>
        <w:numPr>
          <w:ilvl w:val="0"/>
          <w:numId w:val="4"/>
        </w:numPr>
        <w:ind w:left="1080"/>
        <w:jc w:val="both"/>
      </w:pPr>
      <w:r>
        <w:t>Amber – in process of being developed</w:t>
      </w:r>
    </w:p>
    <w:p w14:paraId="0225C492" w14:textId="77777777" w:rsidR="000E4FE1" w:rsidRDefault="000E4FE1" w:rsidP="000E4FE1">
      <w:pPr>
        <w:pStyle w:val="ListParagraph"/>
        <w:numPr>
          <w:ilvl w:val="0"/>
          <w:numId w:val="4"/>
        </w:numPr>
        <w:ind w:left="1080"/>
        <w:jc w:val="both"/>
      </w:pPr>
      <w:r>
        <w:t>Green – developed and evidenced.</w:t>
      </w:r>
    </w:p>
    <w:p w14:paraId="7DF2C7FD" w14:textId="77777777" w:rsidR="000E4FE1" w:rsidRDefault="000E4FE1" w:rsidP="000E4FE1">
      <w:pPr>
        <w:pStyle w:val="ListParagraph"/>
        <w:jc w:val="both"/>
      </w:pPr>
    </w:p>
    <w:p w14:paraId="65EF2288" w14:textId="77777777" w:rsidR="000E4FE1" w:rsidRDefault="000E4FE1" w:rsidP="000E4FE1">
      <w:pPr>
        <w:pStyle w:val="ListParagraph"/>
        <w:numPr>
          <w:ilvl w:val="0"/>
          <w:numId w:val="6"/>
        </w:numPr>
        <w:jc w:val="both"/>
      </w:pPr>
      <w:r>
        <w:t>It is important to document, with supporting comments, the rationale for assigning criteria a colour as this facilitates interpretation of the completed questionnaire.</w:t>
      </w:r>
    </w:p>
    <w:p w14:paraId="220CA249" w14:textId="77777777" w:rsidR="000E4FE1" w:rsidRDefault="000E4FE1" w:rsidP="000E4FE1">
      <w:pPr>
        <w:pStyle w:val="ListParagraph"/>
        <w:ind w:left="360"/>
        <w:jc w:val="both"/>
      </w:pPr>
    </w:p>
    <w:p w14:paraId="59BA8D0E" w14:textId="77777777" w:rsidR="000E4FE1" w:rsidRDefault="000E4FE1" w:rsidP="000E4FE1">
      <w:pPr>
        <w:pStyle w:val="ListParagraph"/>
        <w:numPr>
          <w:ilvl w:val="0"/>
          <w:numId w:val="6"/>
        </w:numPr>
        <w:jc w:val="both"/>
      </w:pPr>
      <w:r>
        <w:t xml:space="preserve">The coordinator should analyse the completed questionnaire </w:t>
      </w:r>
      <w:proofErr w:type="gramStart"/>
      <w:r>
        <w:t>taking into account</w:t>
      </w:r>
      <w:proofErr w:type="gramEnd"/>
      <w:r>
        <w:t xml:space="preserve"> supporting comments in order to identify areas of good practice, areas where work is being undertaken and areas where further work is required.</w:t>
      </w:r>
    </w:p>
    <w:p w14:paraId="64C23750" w14:textId="77777777" w:rsidR="000E4FE1" w:rsidRPr="004C143B" w:rsidRDefault="000E4FE1" w:rsidP="000E4FE1">
      <w:pPr>
        <w:pStyle w:val="ListParagraph"/>
        <w:ind w:left="360"/>
        <w:jc w:val="both"/>
      </w:pPr>
    </w:p>
    <w:p w14:paraId="09D0E11E" w14:textId="77777777" w:rsidR="000E4FE1" w:rsidRPr="003B5178" w:rsidRDefault="000E4FE1" w:rsidP="000E4FE1">
      <w:pPr>
        <w:pStyle w:val="ListParagraph"/>
        <w:numPr>
          <w:ilvl w:val="0"/>
          <w:numId w:val="6"/>
        </w:numPr>
        <w:jc w:val="both"/>
      </w:pPr>
      <w:r>
        <w:t>It is recommended that the questionnaire is completed at regular intervals to assess progress within the NHS institution.</w:t>
      </w:r>
    </w:p>
    <w:p w14:paraId="2D58E257" w14:textId="77777777" w:rsidR="000E4FE1" w:rsidRDefault="000E4FE1" w:rsidP="000E4FE1">
      <w:r>
        <w:t xml:space="preserve">Other suggested resources </w:t>
      </w:r>
      <w:proofErr w:type="gramStart"/>
      <w:r>
        <w:t>include;</w:t>
      </w:r>
      <w:proofErr w:type="gramEnd"/>
    </w:p>
    <w:tbl>
      <w:tblPr>
        <w:tblStyle w:val="TableTheme"/>
        <w:tblW w:w="8926" w:type="dxa"/>
        <w:tblLook w:val="04A0" w:firstRow="1" w:lastRow="0" w:firstColumn="1" w:lastColumn="0" w:noHBand="0" w:noVBand="1"/>
      </w:tblPr>
      <w:tblGrid>
        <w:gridCol w:w="3114"/>
        <w:gridCol w:w="5812"/>
      </w:tblGrid>
      <w:tr w:rsidR="000E4FE1" w:rsidRPr="00B023D0" w14:paraId="422E6532" w14:textId="77777777" w:rsidTr="00155464">
        <w:tc>
          <w:tcPr>
            <w:tcW w:w="3114" w:type="dxa"/>
          </w:tcPr>
          <w:p w14:paraId="45EFDE0D" w14:textId="77777777" w:rsidR="000E4FE1" w:rsidRPr="00B023D0" w:rsidRDefault="000E4FE1" w:rsidP="00155464">
            <w:pPr>
              <w:spacing w:after="0" w:line="240" w:lineRule="auto"/>
              <w:rPr>
                <w:rFonts w:cstheme="minorHAnsi"/>
              </w:rPr>
            </w:pPr>
            <w:r w:rsidRPr="006E2EA6">
              <w:rPr>
                <w:rFonts w:cstheme="minorHAnsi"/>
              </w:rPr>
              <w:t>Advanced Therapies NHS Readiness Toolkit</w:t>
            </w:r>
          </w:p>
        </w:tc>
        <w:tc>
          <w:tcPr>
            <w:tcW w:w="5812" w:type="dxa"/>
          </w:tcPr>
          <w:p w14:paraId="1E266647" w14:textId="77777777" w:rsidR="000E4FE1" w:rsidRPr="006E2EA6" w:rsidRDefault="000E4FE1" w:rsidP="00155464">
            <w:pPr>
              <w:spacing w:after="0" w:line="240" w:lineRule="auto"/>
              <w:rPr>
                <w:color w:val="0000FF"/>
              </w:rPr>
            </w:pPr>
            <w:r w:rsidRPr="006E2EA6">
              <w:rPr>
                <w:color w:val="0000FF"/>
              </w:rPr>
              <w:t>https://www.theattcnetwork.co.uk/advanced-therapies-nhs-readiness-toolkit</w:t>
            </w:r>
            <w:hyperlink r:id="rId17" w:history="1"/>
          </w:p>
        </w:tc>
      </w:tr>
      <w:tr w:rsidR="000E4FE1" w:rsidRPr="00B023D0" w14:paraId="10C5CDC0" w14:textId="77777777" w:rsidTr="00155464">
        <w:tc>
          <w:tcPr>
            <w:tcW w:w="3114" w:type="dxa"/>
          </w:tcPr>
          <w:p w14:paraId="08ECF9DF" w14:textId="77777777" w:rsidR="000E4FE1" w:rsidRPr="00B023D0" w:rsidRDefault="000E4FE1" w:rsidP="00155464">
            <w:pPr>
              <w:spacing w:after="0" w:line="240" w:lineRule="auto"/>
              <w:rPr>
                <w:rFonts w:cstheme="minorHAnsi"/>
              </w:rPr>
            </w:pPr>
            <w:r w:rsidRPr="00B023D0">
              <w:rPr>
                <w:rFonts w:cstheme="minorHAnsi"/>
              </w:rPr>
              <w:t>Pharmacy oversight and supervision requirement for preparation of licensed ATMPs</w:t>
            </w:r>
          </w:p>
        </w:tc>
        <w:tc>
          <w:tcPr>
            <w:tcW w:w="5812" w:type="dxa"/>
          </w:tcPr>
          <w:p w14:paraId="063A972A" w14:textId="77777777" w:rsidR="000E4FE1" w:rsidRPr="00B023D0" w:rsidRDefault="00EE203D" w:rsidP="00155464">
            <w:pPr>
              <w:spacing w:after="0" w:line="240" w:lineRule="auto"/>
              <w:rPr>
                <w:rFonts w:eastAsia="Times New Roman" w:cstheme="minorHAnsi"/>
                <w:lang w:eastAsia="en-GB"/>
              </w:rPr>
            </w:pPr>
            <w:hyperlink r:id="rId18" w:history="1">
              <w:r w:rsidR="000E4FE1" w:rsidRPr="006E2EA6">
                <w:rPr>
                  <w:rStyle w:val="Hyperlink"/>
                  <w:rFonts w:cstheme="minorHAnsi"/>
                  <w:color w:val="0000FF"/>
                </w:rPr>
                <w:t>https://www.sps.nhs.uk/articles/pharmacy-oversight-and-supervision-requirements-for-preparation-of-licensed-atmp</w:t>
              </w:r>
              <w:r w:rsidR="000E4FE1" w:rsidRPr="00B023D0">
                <w:rPr>
                  <w:rStyle w:val="Hyperlink"/>
                  <w:rFonts w:cstheme="minorHAnsi"/>
                </w:rPr>
                <w:t>s/</w:t>
              </w:r>
            </w:hyperlink>
          </w:p>
        </w:tc>
      </w:tr>
      <w:tr w:rsidR="000E4FE1" w:rsidRPr="00B023D0" w14:paraId="72673BD4" w14:textId="77777777" w:rsidTr="00155464">
        <w:tc>
          <w:tcPr>
            <w:tcW w:w="3114" w:type="dxa"/>
          </w:tcPr>
          <w:p w14:paraId="0F72E7AA" w14:textId="77777777" w:rsidR="000E4FE1" w:rsidRPr="00B023D0" w:rsidRDefault="000E4FE1" w:rsidP="00155464">
            <w:pPr>
              <w:spacing w:after="0" w:line="240" w:lineRule="auto"/>
              <w:rPr>
                <w:rFonts w:cstheme="minorHAnsi"/>
              </w:rPr>
            </w:pPr>
            <w:r w:rsidRPr="00B023D0">
              <w:rPr>
                <w:rFonts w:cstheme="minorHAnsi"/>
              </w:rPr>
              <w:t>Requirements for Governance and Preparation of Gene Therapy</w:t>
            </w:r>
          </w:p>
        </w:tc>
        <w:tc>
          <w:tcPr>
            <w:tcW w:w="5812" w:type="dxa"/>
          </w:tcPr>
          <w:p w14:paraId="462E1EFA" w14:textId="77777777" w:rsidR="000E4FE1" w:rsidRPr="00B023D0" w:rsidRDefault="00EE203D" w:rsidP="00155464">
            <w:pPr>
              <w:spacing w:after="0" w:line="240" w:lineRule="auto"/>
              <w:rPr>
                <w:rFonts w:cstheme="minorHAnsi"/>
              </w:rPr>
            </w:pPr>
            <w:hyperlink r:id="rId19" w:history="1">
              <w:r w:rsidR="000E4FE1" w:rsidRPr="00B023D0">
                <w:rPr>
                  <w:rStyle w:val="Hyperlink"/>
                  <w:rFonts w:cstheme="minorHAnsi"/>
                </w:rPr>
                <w:t>https://www.sps.nhs.uk/articles/requirements-for-governance-preparation-of-gene-therapy-pan-uk-pharmacy-working-group-for-atmps/</w:t>
              </w:r>
            </w:hyperlink>
          </w:p>
        </w:tc>
      </w:tr>
      <w:tr w:rsidR="000E4FE1" w:rsidRPr="00B023D0" w14:paraId="11C4D2D7" w14:textId="77777777" w:rsidTr="00155464">
        <w:tc>
          <w:tcPr>
            <w:tcW w:w="3114" w:type="dxa"/>
          </w:tcPr>
          <w:p w14:paraId="7D6F1A24" w14:textId="77777777" w:rsidR="000E4FE1" w:rsidRPr="00B023D0" w:rsidRDefault="000E4FE1" w:rsidP="00155464">
            <w:pPr>
              <w:spacing w:after="0" w:line="240" w:lineRule="auto"/>
              <w:rPr>
                <w:rFonts w:cstheme="minorHAnsi"/>
              </w:rPr>
            </w:pPr>
            <w:r w:rsidRPr="00B023D0">
              <w:rPr>
                <w:rFonts w:cstheme="minorHAnsi"/>
              </w:rPr>
              <w:t>Regulatory Requirement for export of ATMP starting materials</w:t>
            </w:r>
          </w:p>
        </w:tc>
        <w:tc>
          <w:tcPr>
            <w:tcW w:w="5812" w:type="dxa"/>
          </w:tcPr>
          <w:p w14:paraId="2A4AC719" w14:textId="77777777" w:rsidR="000E4FE1" w:rsidRPr="00B023D0" w:rsidRDefault="00EE203D" w:rsidP="00155464">
            <w:pPr>
              <w:spacing w:after="0" w:line="240" w:lineRule="auto"/>
              <w:rPr>
                <w:rFonts w:eastAsia="Times New Roman" w:cstheme="minorHAnsi"/>
                <w:lang w:eastAsia="en-GB"/>
              </w:rPr>
            </w:pPr>
            <w:hyperlink r:id="rId20" w:history="1">
              <w:r w:rsidR="000E4FE1" w:rsidRPr="00B023D0">
                <w:rPr>
                  <w:rStyle w:val="Hyperlink"/>
                  <w:rFonts w:cstheme="minorHAnsi"/>
                </w:rPr>
                <w:t>https://www.sps.nhs.uk/articles/regulatory-requirements-for-export-of-atmp-starting-materials-pan-uk-pharmacy-working-group-on-atmps/</w:t>
              </w:r>
            </w:hyperlink>
          </w:p>
        </w:tc>
      </w:tr>
      <w:tr w:rsidR="000E4FE1" w:rsidRPr="00B023D0" w14:paraId="7CA2A0FA" w14:textId="77777777" w:rsidTr="00155464">
        <w:tc>
          <w:tcPr>
            <w:tcW w:w="3114" w:type="dxa"/>
          </w:tcPr>
          <w:p w14:paraId="46D943E4" w14:textId="77777777" w:rsidR="000E4FE1" w:rsidRPr="00B023D0" w:rsidRDefault="000E4FE1" w:rsidP="00155464">
            <w:pPr>
              <w:spacing w:after="0" w:line="240" w:lineRule="auto"/>
              <w:rPr>
                <w:rFonts w:cstheme="minorHAnsi"/>
              </w:rPr>
            </w:pPr>
            <w:r w:rsidRPr="00B023D0">
              <w:rPr>
                <w:rFonts w:cstheme="minorHAnsi"/>
              </w:rPr>
              <w:t>Pharmacy institutional readiness for Marketed CAR-T Therapy</w:t>
            </w:r>
          </w:p>
        </w:tc>
        <w:tc>
          <w:tcPr>
            <w:tcW w:w="5812" w:type="dxa"/>
          </w:tcPr>
          <w:p w14:paraId="180E6E1A" w14:textId="77777777" w:rsidR="000E4FE1" w:rsidRPr="00B023D0" w:rsidRDefault="00EE203D" w:rsidP="00155464">
            <w:pPr>
              <w:spacing w:after="0" w:line="240" w:lineRule="auto"/>
              <w:rPr>
                <w:rFonts w:eastAsia="Times New Roman" w:cstheme="minorHAnsi"/>
                <w:lang w:eastAsia="en-GB"/>
              </w:rPr>
            </w:pPr>
            <w:hyperlink r:id="rId21" w:history="1">
              <w:r w:rsidR="000E4FE1" w:rsidRPr="00B023D0">
                <w:rPr>
                  <w:rStyle w:val="Hyperlink"/>
                  <w:rFonts w:cstheme="minorHAnsi"/>
                </w:rPr>
                <w:t>https://www.sps.nhs.uk/articles/pharmacy-institutional-readiness-for-marketed-car-t-therapy-guidance-for-chief-pharmacists/</w:t>
              </w:r>
            </w:hyperlink>
          </w:p>
        </w:tc>
      </w:tr>
      <w:tr w:rsidR="000E4FE1" w:rsidRPr="00B023D0" w14:paraId="3C60C6F3" w14:textId="77777777" w:rsidTr="00155464">
        <w:tc>
          <w:tcPr>
            <w:tcW w:w="3114" w:type="dxa"/>
          </w:tcPr>
          <w:p w14:paraId="0606863E" w14:textId="77777777" w:rsidR="000E4FE1" w:rsidRPr="00B023D0" w:rsidRDefault="000E4FE1" w:rsidP="00155464">
            <w:pPr>
              <w:spacing w:after="0" w:line="240" w:lineRule="auto"/>
              <w:rPr>
                <w:rFonts w:cstheme="minorHAnsi"/>
              </w:rPr>
            </w:pPr>
            <w:r w:rsidRPr="00B023D0">
              <w:rPr>
                <w:rFonts w:cstheme="minorHAnsi"/>
              </w:rPr>
              <w:t>Generic Autologous ATMP Clinical Flow Chart</w:t>
            </w:r>
          </w:p>
        </w:tc>
        <w:tc>
          <w:tcPr>
            <w:tcW w:w="5812" w:type="dxa"/>
          </w:tcPr>
          <w:p w14:paraId="4358AFE5" w14:textId="77777777" w:rsidR="000E4FE1" w:rsidRPr="00B023D0" w:rsidRDefault="00EE203D" w:rsidP="00155464">
            <w:pPr>
              <w:spacing w:after="0" w:line="240" w:lineRule="auto"/>
              <w:rPr>
                <w:rFonts w:cstheme="minorHAnsi"/>
              </w:rPr>
            </w:pPr>
            <w:hyperlink r:id="rId22" w:history="1">
              <w:r w:rsidR="000E4FE1" w:rsidRPr="00B023D0">
                <w:rPr>
                  <w:rStyle w:val="Hyperlink"/>
                  <w:rFonts w:cstheme="minorHAnsi"/>
                </w:rPr>
                <w:t>https://www.theattcnetwork.co.uk/wp-content/uploads/2020/01/Generic-Autologous-Patient-Pathway-V1.3-19.12.19-1.pdf</w:t>
              </w:r>
            </w:hyperlink>
          </w:p>
        </w:tc>
      </w:tr>
      <w:tr w:rsidR="000E4FE1" w:rsidRPr="00B023D0" w14:paraId="219879E3" w14:textId="77777777" w:rsidTr="00155464">
        <w:tc>
          <w:tcPr>
            <w:tcW w:w="3114" w:type="dxa"/>
          </w:tcPr>
          <w:p w14:paraId="67BD1B30" w14:textId="77777777" w:rsidR="000E4FE1" w:rsidRPr="00B023D0" w:rsidRDefault="000E4FE1" w:rsidP="00155464">
            <w:pPr>
              <w:spacing w:after="0" w:line="240" w:lineRule="auto"/>
              <w:rPr>
                <w:rFonts w:cstheme="minorHAnsi"/>
              </w:rPr>
            </w:pPr>
            <w:r w:rsidRPr="00B023D0">
              <w:rPr>
                <w:rFonts w:cstheme="minorHAnsi"/>
              </w:rPr>
              <w:lastRenderedPageBreak/>
              <w:t>Generic Allogenic ATMP Clinical Flow Chart</w:t>
            </w:r>
          </w:p>
        </w:tc>
        <w:tc>
          <w:tcPr>
            <w:tcW w:w="5812" w:type="dxa"/>
          </w:tcPr>
          <w:p w14:paraId="5CC8E224" w14:textId="77777777" w:rsidR="000E4FE1" w:rsidRPr="00B023D0" w:rsidRDefault="00EE203D" w:rsidP="00155464">
            <w:pPr>
              <w:spacing w:after="0" w:line="240" w:lineRule="auto"/>
              <w:rPr>
                <w:rFonts w:cstheme="minorHAnsi"/>
              </w:rPr>
            </w:pPr>
            <w:hyperlink r:id="rId23" w:history="1">
              <w:r w:rsidR="000E4FE1" w:rsidRPr="00B023D0">
                <w:rPr>
                  <w:rStyle w:val="Hyperlink"/>
                  <w:rFonts w:cstheme="minorHAnsi"/>
                </w:rPr>
                <w:t>https://www.theattcnetwork.co.uk/wp-content/uploads/2020/01/Generic-Allogeneic-V1.4-09.05.19.pdf</w:t>
              </w:r>
            </w:hyperlink>
          </w:p>
        </w:tc>
      </w:tr>
    </w:tbl>
    <w:p w14:paraId="53C9B71E" w14:textId="77777777" w:rsidR="00F203F8" w:rsidRDefault="00F203F8" w:rsidP="00A64BC3">
      <w:pPr>
        <w:widowControl w:val="0"/>
        <w:tabs>
          <w:tab w:val="center" w:pos="11199"/>
        </w:tabs>
        <w:suppressAutoHyphens/>
        <w:spacing w:before="240" w:after="60" w:line="240" w:lineRule="auto"/>
        <w:outlineLvl w:val="0"/>
        <w:rPr>
          <w:rFonts w:eastAsia="Times New Roman" w:cstheme="minorHAnsi"/>
          <w:b/>
          <w:bCs/>
          <w:color w:val="7030A0"/>
          <w:kern w:val="28"/>
          <w:sz w:val="24"/>
          <w:szCs w:val="24"/>
          <w:u w:val="single"/>
          <w:lang w:eastAsia="hi-IN" w:bidi="hi-IN"/>
        </w:rPr>
      </w:pPr>
    </w:p>
    <w:p w14:paraId="6EAB0F91" w14:textId="78724B8F" w:rsidR="00A64BC3" w:rsidRPr="00320A6A" w:rsidRDefault="00EF158D" w:rsidP="00A64BC3">
      <w:pPr>
        <w:widowControl w:val="0"/>
        <w:tabs>
          <w:tab w:val="center" w:pos="11199"/>
        </w:tabs>
        <w:suppressAutoHyphens/>
        <w:spacing w:before="240" w:after="60" w:line="240" w:lineRule="auto"/>
        <w:outlineLvl w:val="0"/>
        <w:rPr>
          <w:rFonts w:eastAsia="Times New Roman" w:cstheme="minorHAnsi"/>
          <w:b/>
          <w:bCs/>
          <w:color w:val="7030A0"/>
          <w:kern w:val="28"/>
          <w:sz w:val="24"/>
          <w:szCs w:val="24"/>
          <w:u w:val="single"/>
          <w:lang w:eastAsia="hi-IN" w:bidi="hi-IN"/>
        </w:rPr>
      </w:pPr>
      <w:r w:rsidRPr="00320A6A">
        <w:rPr>
          <w:rFonts w:eastAsia="Times New Roman" w:cstheme="minorHAnsi"/>
          <w:b/>
          <w:bCs/>
          <w:color w:val="7030A0"/>
          <w:kern w:val="28"/>
          <w:sz w:val="24"/>
          <w:szCs w:val="24"/>
          <w:u w:val="single"/>
          <w:lang w:eastAsia="hi-IN" w:bidi="hi-IN"/>
        </w:rPr>
        <w:t>(</w:t>
      </w:r>
      <w:r w:rsidR="00A64BC3" w:rsidRPr="00320A6A">
        <w:rPr>
          <w:rFonts w:eastAsia="Times New Roman" w:cstheme="minorHAnsi"/>
          <w:b/>
          <w:bCs/>
          <w:color w:val="7030A0"/>
          <w:kern w:val="28"/>
          <w:sz w:val="24"/>
          <w:szCs w:val="24"/>
          <w:u w:val="single"/>
          <w:lang w:eastAsia="hi-IN" w:bidi="hi-IN"/>
        </w:rPr>
        <w:t>C) Institutional Readiness for ATMP Questionnaire</w:t>
      </w:r>
    </w:p>
    <w:p w14:paraId="42AD7416" w14:textId="77777777" w:rsidR="000E4FE1" w:rsidRPr="00A64BC3" w:rsidRDefault="000E4FE1" w:rsidP="000E4FE1">
      <w:pPr>
        <w:widowControl w:val="0"/>
        <w:tabs>
          <w:tab w:val="center" w:pos="11199"/>
        </w:tabs>
        <w:suppressAutoHyphens/>
        <w:spacing w:before="240" w:after="60" w:line="240" w:lineRule="auto"/>
        <w:jc w:val="center"/>
        <w:outlineLvl w:val="0"/>
        <w:rPr>
          <w:rFonts w:eastAsia="Times New Roman" w:cstheme="minorHAnsi"/>
          <w:b/>
          <w:bCs/>
          <w:kern w:val="28"/>
          <w:sz w:val="24"/>
          <w:szCs w:val="24"/>
          <w:u w:val="single"/>
          <w:lang w:eastAsia="hi-IN" w:bidi="hi-IN"/>
        </w:rPr>
      </w:pPr>
      <w:r w:rsidRPr="00A64BC3">
        <w:rPr>
          <w:rFonts w:eastAsia="Times New Roman" w:cstheme="minorHAnsi"/>
          <w:b/>
          <w:bCs/>
          <w:kern w:val="28"/>
          <w:sz w:val="24"/>
          <w:szCs w:val="24"/>
          <w:u w:val="single"/>
          <w:lang w:eastAsia="hi-IN" w:bidi="hi-IN"/>
        </w:rPr>
        <w:t>Tissue Engineered/Cell Based Gene/Somatic Cell/Virus Based Gene</w:t>
      </w:r>
    </w:p>
    <w:p w14:paraId="134B4078" w14:textId="77777777" w:rsidR="000E4FE1" w:rsidRDefault="000E4FE1" w:rsidP="000E4FE1">
      <w:pPr>
        <w:widowControl w:val="0"/>
        <w:tabs>
          <w:tab w:val="center" w:pos="11199"/>
        </w:tabs>
        <w:suppressAutoHyphens/>
        <w:spacing w:after="0" w:line="240" w:lineRule="auto"/>
        <w:jc w:val="center"/>
        <w:rPr>
          <w:rFonts w:eastAsia="SimSun" w:cstheme="minorHAnsi"/>
          <w:kern w:val="1"/>
          <w:sz w:val="24"/>
          <w:szCs w:val="24"/>
          <w:u w:val="single"/>
          <w:lang w:eastAsia="hi-IN" w:bidi="hi-IN"/>
        </w:rPr>
      </w:pPr>
      <w:r w:rsidRPr="00A64BC3">
        <w:rPr>
          <w:rFonts w:eastAsia="SimSun" w:cstheme="minorHAnsi"/>
          <w:kern w:val="1"/>
          <w:sz w:val="24"/>
          <w:szCs w:val="24"/>
          <w:u w:val="single"/>
          <w:lang w:eastAsia="hi-IN" w:bidi="hi-IN"/>
        </w:rPr>
        <w:t>By product class in an NHS Trust/Board</w:t>
      </w:r>
    </w:p>
    <w:p w14:paraId="48F4F237" w14:textId="77777777" w:rsidR="000E4FE1" w:rsidRPr="00A64BC3" w:rsidRDefault="000E4FE1" w:rsidP="000E4FE1">
      <w:pPr>
        <w:widowControl w:val="0"/>
        <w:tabs>
          <w:tab w:val="center" w:pos="11199"/>
        </w:tabs>
        <w:suppressAutoHyphens/>
        <w:spacing w:after="0" w:line="240" w:lineRule="auto"/>
        <w:jc w:val="center"/>
        <w:rPr>
          <w:rFonts w:ascii="Times New Roman" w:eastAsia="SimSun" w:hAnsi="Times New Roman" w:cs="Mangal"/>
          <w:kern w:val="1"/>
          <w:sz w:val="24"/>
          <w:szCs w:val="24"/>
          <w:u w:val="single"/>
          <w:lang w:eastAsia="hi-IN" w:bidi="hi-IN"/>
        </w:rPr>
      </w:pPr>
    </w:p>
    <w:tbl>
      <w:tblPr>
        <w:tblStyle w:val="TableGrid"/>
        <w:tblW w:w="10207" w:type="dxa"/>
        <w:tblInd w:w="-289" w:type="dxa"/>
        <w:tblLook w:val="04A0" w:firstRow="1" w:lastRow="0" w:firstColumn="1" w:lastColumn="0" w:noHBand="0" w:noVBand="1"/>
      </w:tblPr>
      <w:tblGrid>
        <w:gridCol w:w="3294"/>
        <w:gridCol w:w="3005"/>
        <w:gridCol w:w="3908"/>
      </w:tblGrid>
      <w:tr w:rsidR="000E4FE1" w14:paraId="0F0AD7C6" w14:textId="77777777" w:rsidTr="00155464">
        <w:trPr>
          <w:trHeight w:val="621"/>
        </w:trPr>
        <w:tc>
          <w:tcPr>
            <w:tcW w:w="3294" w:type="dxa"/>
          </w:tcPr>
          <w:p w14:paraId="77FD11C7" w14:textId="77777777" w:rsidR="000E4FE1" w:rsidRDefault="000E4FE1" w:rsidP="00155464">
            <w:pPr>
              <w:widowControl w:val="0"/>
              <w:suppressAutoHyphens/>
              <w:spacing w:after="60"/>
              <w:outlineLvl w:val="0"/>
              <w:rPr>
                <w:rFonts w:eastAsia="Times New Roman" w:cstheme="minorHAnsi"/>
                <w:b/>
                <w:bCs/>
                <w:kern w:val="28"/>
                <w:sz w:val="24"/>
                <w:szCs w:val="24"/>
                <w:lang w:eastAsia="hi-IN" w:bidi="hi-IN"/>
              </w:rPr>
            </w:pPr>
            <w:r w:rsidRPr="00A64BC3">
              <w:rPr>
                <w:rFonts w:eastAsia="Times New Roman" w:cstheme="minorHAnsi"/>
                <w:b/>
                <w:bCs/>
                <w:kern w:val="28"/>
                <w:sz w:val="24"/>
                <w:szCs w:val="24"/>
                <w:lang w:eastAsia="hi-IN" w:bidi="hi-IN"/>
              </w:rPr>
              <w:t>NHS Trust or Board:</w:t>
            </w:r>
          </w:p>
          <w:p w14:paraId="429FEB6A" w14:textId="77777777" w:rsidR="000E4FE1" w:rsidRDefault="000E4FE1" w:rsidP="00155464">
            <w:pPr>
              <w:widowControl w:val="0"/>
              <w:suppressAutoHyphens/>
              <w:spacing w:after="60"/>
              <w:outlineLvl w:val="0"/>
              <w:rPr>
                <w:rFonts w:eastAsia="Times New Roman" w:cstheme="minorHAnsi"/>
                <w:b/>
                <w:bCs/>
                <w:kern w:val="28"/>
                <w:sz w:val="24"/>
                <w:szCs w:val="24"/>
                <w:lang w:eastAsia="hi-IN" w:bidi="hi-IN"/>
              </w:rPr>
            </w:pPr>
          </w:p>
          <w:p w14:paraId="0C171F8C" w14:textId="77777777" w:rsidR="000E4FE1" w:rsidRDefault="000E4FE1" w:rsidP="00155464">
            <w:pPr>
              <w:widowControl w:val="0"/>
              <w:suppressAutoHyphens/>
              <w:spacing w:after="60"/>
              <w:outlineLvl w:val="0"/>
              <w:rPr>
                <w:rFonts w:eastAsia="Times New Roman" w:cstheme="minorHAnsi"/>
                <w:b/>
                <w:bCs/>
                <w:kern w:val="28"/>
                <w:sz w:val="24"/>
                <w:szCs w:val="24"/>
                <w:lang w:eastAsia="hi-IN" w:bidi="hi-IN"/>
              </w:rPr>
            </w:pPr>
          </w:p>
        </w:tc>
        <w:tc>
          <w:tcPr>
            <w:tcW w:w="3005" w:type="dxa"/>
          </w:tcPr>
          <w:p w14:paraId="6E21EFC2" w14:textId="77777777" w:rsidR="000E4FE1" w:rsidRPr="00D14558" w:rsidRDefault="000E4FE1" w:rsidP="00155464">
            <w:pPr>
              <w:widowControl w:val="0"/>
              <w:suppressAutoHyphens/>
              <w:rPr>
                <w:rFonts w:eastAsia="SimSun" w:cstheme="minorHAnsi"/>
                <w:b/>
                <w:kern w:val="1"/>
                <w:sz w:val="24"/>
                <w:szCs w:val="24"/>
                <w:lang w:eastAsia="hi-IN" w:bidi="hi-IN"/>
              </w:rPr>
            </w:pPr>
            <w:r w:rsidRPr="00A64BC3">
              <w:rPr>
                <w:rFonts w:eastAsia="SimSun" w:cstheme="minorHAnsi"/>
                <w:b/>
                <w:kern w:val="1"/>
                <w:sz w:val="24"/>
                <w:szCs w:val="24"/>
                <w:lang w:eastAsia="hi-IN" w:bidi="hi-IN"/>
              </w:rPr>
              <w:t>Date:</w:t>
            </w:r>
          </w:p>
        </w:tc>
        <w:tc>
          <w:tcPr>
            <w:tcW w:w="3908" w:type="dxa"/>
          </w:tcPr>
          <w:p w14:paraId="26F7E4A2" w14:textId="77777777" w:rsidR="000E4FE1" w:rsidRPr="00D14558" w:rsidRDefault="000E4FE1" w:rsidP="00155464">
            <w:pPr>
              <w:widowControl w:val="0"/>
              <w:suppressAutoHyphens/>
              <w:rPr>
                <w:rFonts w:eastAsia="SimSun" w:cstheme="minorHAnsi"/>
                <w:b/>
                <w:kern w:val="1"/>
                <w:sz w:val="24"/>
                <w:szCs w:val="24"/>
                <w:lang w:eastAsia="hi-IN" w:bidi="hi-IN"/>
              </w:rPr>
            </w:pPr>
            <w:r w:rsidRPr="00A64BC3">
              <w:rPr>
                <w:rFonts w:eastAsia="SimSun" w:cstheme="minorHAnsi"/>
                <w:b/>
                <w:kern w:val="1"/>
                <w:sz w:val="24"/>
                <w:szCs w:val="24"/>
                <w:lang w:eastAsia="hi-IN" w:bidi="hi-IN"/>
              </w:rPr>
              <w:t>Completed by:</w:t>
            </w:r>
          </w:p>
        </w:tc>
      </w:tr>
    </w:tbl>
    <w:p w14:paraId="2E046DE5" w14:textId="77777777" w:rsidR="000E4FE1" w:rsidRDefault="000E4FE1" w:rsidP="000E4FE1">
      <w:pPr>
        <w:widowControl w:val="0"/>
        <w:suppressAutoHyphens/>
        <w:spacing w:after="0" w:line="240" w:lineRule="auto"/>
        <w:rPr>
          <w:rFonts w:ascii="Times New Roman" w:eastAsia="SimSun" w:hAnsi="Times New Roman" w:cs="Mangal"/>
          <w:kern w:val="1"/>
          <w:sz w:val="24"/>
          <w:szCs w:val="24"/>
          <w:lang w:eastAsia="hi-IN" w:bidi="hi-IN"/>
        </w:rPr>
      </w:pPr>
    </w:p>
    <w:p w14:paraId="7AF8AF0C" w14:textId="77777777" w:rsidR="000E4FE1" w:rsidRPr="00A64BC3" w:rsidRDefault="000E4FE1" w:rsidP="000E4FE1">
      <w:pPr>
        <w:widowControl w:val="0"/>
        <w:suppressAutoHyphens/>
        <w:spacing w:after="0" w:line="240" w:lineRule="auto"/>
        <w:rPr>
          <w:rFonts w:ascii="Times New Roman" w:eastAsia="SimSun" w:hAnsi="Times New Roman" w:cs="Mangal"/>
          <w:kern w:val="1"/>
          <w:sz w:val="24"/>
          <w:szCs w:val="24"/>
          <w:lang w:eastAsia="hi-IN" w:bidi="hi-IN"/>
        </w:rPr>
      </w:pPr>
    </w:p>
    <w:tbl>
      <w:tblPr>
        <w:tblW w:w="10207" w:type="dxa"/>
        <w:tblInd w:w="-287" w:type="dxa"/>
        <w:tblLayout w:type="fixed"/>
        <w:tblCellMar>
          <w:top w:w="55" w:type="dxa"/>
          <w:left w:w="55" w:type="dxa"/>
          <w:bottom w:w="55" w:type="dxa"/>
          <w:right w:w="55" w:type="dxa"/>
        </w:tblCellMar>
        <w:tblLook w:val="0000" w:firstRow="0" w:lastRow="0" w:firstColumn="0" w:lastColumn="0" w:noHBand="0" w:noVBand="0"/>
      </w:tblPr>
      <w:tblGrid>
        <w:gridCol w:w="2127"/>
        <w:gridCol w:w="3260"/>
        <w:gridCol w:w="1134"/>
        <w:gridCol w:w="3686"/>
      </w:tblGrid>
      <w:tr w:rsidR="000E4FE1" w:rsidRPr="00EF158D" w14:paraId="0ACDC78C" w14:textId="77777777" w:rsidTr="00155464">
        <w:trPr>
          <w:cantSplit/>
          <w:trHeight w:val="1034"/>
        </w:trPr>
        <w:tc>
          <w:tcPr>
            <w:tcW w:w="2127" w:type="dxa"/>
            <w:tcBorders>
              <w:top w:val="single" w:sz="2" w:space="0" w:color="000000"/>
              <w:left w:val="single" w:sz="2" w:space="0" w:color="000000"/>
              <w:bottom w:val="double" w:sz="4" w:space="0" w:color="auto"/>
              <w:right w:val="single" w:sz="2" w:space="0" w:color="000000"/>
            </w:tcBorders>
            <w:shd w:val="clear" w:color="auto" w:fill="auto"/>
          </w:tcPr>
          <w:p w14:paraId="31605CCA"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b/>
                <w:bCs/>
                <w:kern w:val="1"/>
                <w:lang w:eastAsia="hi-IN" w:bidi="hi-IN"/>
              </w:rPr>
            </w:pPr>
            <w:r w:rsidRPr="00A64BC3">
              <w:rPr>
                <w:rFonts w:eastAsia="SimSun" w:cstheme="minorHAnsi"/>
                <w:b/>
                <w:bCs/>
                <w:kern w:val="1"/>
                <w:lang w:eastAsia="hi-IN" w:bidi="hi-IN"/>
              </w:rPr>
              <w:t>Criteria relating to the ATMP technology or technique</w:t>
            </w:r>
          </w:p>
        </w:tc>
        <w:tc>
          <w:tcPr>
            <w:tcW w:w="3260" w:type="dxa"/>
            <w:tcBorders>
              <w:top w:val="single" w:sz="2" w:space="0" w:color="000000"/>
              <w:left w:val="single" w:sz="2" w:space="0" w:color="000000"/>
              <w:bottom w:val="double" w:sz="4" w:space="0" w:color="auto"/>
              <w:right w:val="single" w:sz="2" w:space="0" w:color="000000"/>
            </w:tcBorders>
            <w:shd w:val="clear" w:color="auto" w:fill="auto"/>
          </w:tcPr>
          <w:p w14:paraId="58D48DEB"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r w:rsidRPr="00A64BC3">
              <w:rPr>
                <w:rFonts w:eastAsia="SimSun" w:cstheme="minorHAnsi"/>
                <w:b/>
                <w:bCs/>
                <w:kern w:val="1"/>
                <w:lang w:eastAsia="hi-IN" w:bidi="hi-IN"/>
              </w:rPr>
              <w:t>Criteria relating to the potential site of clinical delivery</w:t>
            </w:r>
          </w:p>
        </w:tc>
        <w:tc>
          <w:tcPr>
            <w:tcW w:w="1134" w:type="dxa"/>
            <w:tcBorders>
              <w:top w:val="single" w:sz="1" w:space="0" w:color="000000"/>
              <w:left w:val="single" w:sz="2" w:space="0" w:color="000000"/>
              <w:right w:val="single" w:sz="1" w:space="0" w:color="000000"/>
            </w:tcBorders>
          </w:tcPr>
          <w:p w14:paraId="6D5556B8" w14:textId="77777777" w:rsidR="000E4FE1" w:rsidRPr="00A64BC3" w:rsidRDefault="000E4FE1" w:rsidP="00155464">
            <w:pPr>
              <w:widowControl w:val="0"/>
              <w:suppressAutoHyphens/>
              <w:autoSpaceDE w:val="0"/>
              <w:spacing w:after="0" w:line="240" w:lineRule="auto"/>
              <w:jc w:val="center"/>
              <w:rPr>
                <w:rFonts w:eastAsia="SimSun" w:cstheme="minorHAnsi"/>
                <w:b/>
                <w:bCs/>
                <w:kern w:val="1"/>
                <w:lang w:eastAsia="hi-IN" w:bidi="hi-IN"/>
              </w:rPr>
            </w:pPr>
            <w:r w:rsidRPr="00A64BC3">
              <w:rPr>
                <w:rFonts w:eastAsia="SimSun" w:cstheme="minorHAnsi"/>
                <w:b/>
                <w:bCs/>
                <w:kern w:val="1"/>
                <w:lang w:eastAsia="hi-IN" w:bidi="hi-IN"/>
              </w:rPr>
              <w:t>Red</w:t>
            </w:r>
          </w:p>
          <w:p w14:paraId="7DECD5B0" w14:textId="77777777" w:rsidR="000E4FE1" w:rsidRPr="00A64BC3" w:rsidRDefault="000E4FE1" w:rsidP="00155464">
            <w:pPr>
              <w:widowControl w:val="0"/>
              <w:suppressAutoHyphens/>
              <w:autoSpaceDE w:val="0"/>
              <w:spacing w:after="0" w:line="240" w:lineRule="auto"/>
              <w:jc w:val="center"/>
              <w:rPr>
                <w:rFonts w:eastAsia="SimSun" w:cstheme="minorHAnsi"/>
                <w:b/>
                <w:bCs/>
                <w:kern w:val="1"/>
                <w:lang w:eastAsia="hi-IN" w:bidi="hi-IN"/>
              </w:rPr>
            </w:pPr>
            <w:r w:rsidRPr="00A64BC3">
              <w:rPr>
                <w:rFonts w:eastAsia="SimSun" w:cstheme="minorHAnsi"/>
                <w:b/>
                <w:bCs/>
                <w:kern w:val="1"/>
                <w:lang w:eastAsia="hi-IN" w:bidi="hi-IN"/>
              </w:rPr>
              <w:t>Amber</w:t>
            </w:r>
          </w:p>
          <w:p w14:paraId="01CEC318" w14:textId="77777777" w:rsidR="000E4FE1" w:rsidRPr="00A64BC3" w:rsidRDefault="000E4FE1" w:rsidP="00155464">
            <w:pPr>
              <w:widowControl w:val="0"/>
              <w:suppressAutoHyphens/>
              <w:autoSpaceDE w:val="0"/>
              <w:spacing w:after="0" w:line="240" w:lineRule="auto"/>
              <w:jc w:val="center"/>
              <w:rPr>
                <w:rFonts w:eastAsia="SimSun" w:cstheme="minorHAnsi"/>
                <w:b/>
                <w:bCs/>
                <w:kern w:val="1"/>
                <w:lang w:eastAsia="hi-IN" w:bidi="hi-IN"/>
              </w:rPr>
            </w:pPr>
            <w:r w:rsidRPr="00A64BC3">
              <w:rPr>
                <w:rFonts w:eastAsia="SimSun" w:cstheme="minorHAnsi"/>
                <w:b/>
                <w:bCs/>
                <w:kern w:val="1"/>
                <w:lang w:eastAsia="hi-IN" w:bidi="hi-IN"/>
              </w:rPr>
              <w:t>Green</w:t>
            </w:r>
          </w:p>
        </w:tc>
        <w:tc>
          <w:tcPr>
            <w:tcW w:w="3686" w:type="dxa"/>
            <w:tcBorders>
              <w:top w:val="single" w:sz="2" w:space="0" w:color="000000"/>
              <w:left w:val="single" w:sz="1" w:space="0" w:color="000000"/>
              <w:bottom w:val="double" w:sz="4" w:space="0" w:color="auto"/>
              <w:right w:val="single" w:sz="2" w:space="0" w:color="000000"/>
            </w:tcBorders>
          </w:tcPr>
          <w:p w14:paraId="741F1076"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b/>
                <w:bCs/>
                <w:kern w:val="1"/>
                <w:lang w:eastAsia="hi-IN" w:bidi="hi-IN"/>
              </w:rPr>
            </w:pPr>
            <w:r w:rsidRPr="00EF158D">
              <w:rPr>
                <w:rFonts w:eastAsia="SimSun" w:cstheme="minorHAnsi"/>
                <w:b/>
                <w:bCs/>
                <w:kern w:val="1"/>
                <w:lang w:eastAsia="hi-IN" w:bidi="hi-IN"/>
              </w:rPr>
              <w:t>C</w:t>
            </w:r>
            <w:r w:rsidRPr="00A64BC3">
              <w:rPr>
                <w:rFonts w:eastAsia="SimSun" w:cstheme="minorHAnsi"/>
                <w:b/>
                <w:bCs/>
                <w:kern w:val="1"/>
                <w:lang w:eastAsia="hi-IN" w:bidi="hi-IN"/>
              </w:rPr>
              <w:t>omments in support of assessment</w:t>
            </w:r>
          </w:p>
          <w:p w14:paraId="66C7672B"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bCs/>
                <w:i/>
                <w:kern w:val="1"/>
                <w:lang w:eastAsia="hi-IN" w:bidi="hi-IN"/>
              </w:rPr>
            </w:pPr>
          </w:p>
        </w:tc>
      </w:tr>
      <w:tr w:rsidR="000E4FE1" w:rsidRPr="00EF158D" w14:paraId="65141EEA" w14:textId="77777777" w:rsidTr="00155464">
        <w:trPr>
          <w:cantSplit/>
        </w:trPr>
        <w:tc>
          <w:tcPr>
            <w:tcW w:w="2127" w:type="dxa"/>
            <w:vMerge w:val="restart"/>
            <w:tcBorders>
              <w:top w:val="double" w:sz="4" w:space="0" w:color="auto"/>
              <w:left w:val="single" w:sz="1" w:space="0" w:color="000000"/>
            </w:tcBorders>
            <w:shd w:val="clear" w:color="auto" w:fill="auto"/>
          </w:tcPr>
          <w:p w14:paraId="136D010E"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Target indication for the ATMP</w:t>
            </w:r>
          </w:p>
        </w:tc>
        <w:tc>
          <w:tcPr>
            <w:tcW w:w="3260" w:type="dxa"/>
            <w:tcBorders>
              <w:top w:val="double" w:sz="4" w:space="0" w:color="auto"/>
              <w:left w:val="single" w:sz="1" w:space="0" w:color="000000"/>
              <w:bottom w:val="single" w:sz="4" w:space="0" w:color="auto"/>
              <w:right w:val="single" w:sz="1" w:space="0" w:color="000000"/>
            </w:tcBorders>
            <w:shd w:val="clear" w:color="auto" w:fill="auto"/>
          </w:tcPr>
          <w:p w14:paraId="57CE3C98"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Existing expertise in delivering ATMP within class?</w:t>
            </w:r>
          </w:p>
        </w:tc>
        <w:tc>
          <w:tcPr>
            <w:tcW w:w="1134" w:type="dxa"/>
            <w:tcBorders>
              <w:top w:val="double" w:sz="4" w:space="0" w:color="auto"/>
              <w:left w:val="single" w:sz="1" w:space="0" w:color="000000"/>
              <w:bottom w:val="single" w:sz="4" w:space="0" w:color="auto"/>
              <w:right w:val="single" w:sz="1" w:space="0" w:color="000000"/>
            </w:tcBorders>
          </w:tcPr>
          <w:p w14:paraId="1DF76A23"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top w:val="double" w:sz="4" w:space="0" w:color="auto"/>
              <w:left w:val="single" w:sz="1" w:space="0" w:color="000000"/>
              <w:right w:val="single" w:sz="1" w:space="0" w:color="000000"/>
            </w:tcBorders>
          </w:tcPr>
          <w:p w14:paraId="37AF8F2A"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290068A3" w14:textId="77777777" w:rsidTr="00155464">
        <w:trPr>
          <w:cantSplit/>
        </w:trPr>
        <w:tc>
          <w:tcPr>
            <w:tcW w:w="2127" w:type="dxa"/>
            <w:vMerge/>
            <w:tcBorders>
              <w:top w:val="single" w:sz="4" w:space="0" w:color="auto"/>
              <w:left w:val="single" w:sz="1" w:space="0" w:color="000000"/>
            </w:tcBorders>
            <w:shd w:val="clear" w:color="auto" w:fill="auto"/>
          </w:tcPr>
          <w:p w14:paraId="4FF2DCFC"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1" w:space="0" w:color="000000"/>
              <w:bottom w:val="single" w:sz="4" w:space="0" w:color="auto"/>
              <w:right w:val="single" w:sz="1" w:space="0" w:color="000000"/>
            </w:tcBorders>
            <w:shd w:val="clear" w:color="auto" w:fill="auto"/>
          </w:tcPr>
          <w:p w14:paraId="3314918E"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Operational capacity to treat expected patient cohort?</w:t>
            </w:r>
          </w:p>
        </w:tc>
        <w:tc>
          <w:tcPr>
            <w:tcW w:w="1134" w:type="dxa"/>
            <w:tcBorders>
              <w:left w:val="single" w:sz="1" w:space="0" w:color="000000"/>
              <w:bottom w:val="single" w:sz="4" w:space="0" w:color="auto"/>
              <w:right w:val="single" w:sz="1" w:space="0" w:color="000000"/>
            </w:tcBorders>
          </w:tcPr>
          <w:p w14:paraId="3720BE8B"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left w:val="single" w:sz="1" w:space="0" w:color="000000"/>
              <w:right w:val="single" w:sz="1" w:space="0" w:color="000000"/>
            </w:tcBorders>
          </w:tcPr>
          <w:p w14:paraId="7E3A98AF"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087A632C" w14:textId="77777777" w:rsidTr="00155464">
        <w:trPr>
          <w:cantSplit/>
        </w:trPr>
        <w:tc>
          <w:tcPr>
            <w:tcW w:w="2127" w:type="dxa"/>
            <w:vMerge/>
            <w:tcBorders>
              <w:top w:val="single" w:sz="4" w:space="0" w:color="auto"/>
              <w:left w:val="single" w:sz="1" w:space="0" w:color="000000"/>
              <w:bottom w:val="single" w:sz="2" w:space="0" w:color="000000"/>
            </w:tcBorders>
            <w:shd w:val="clear" w:color="auto" w:fill="auto"/>
          </w:tcPr>
          <w:p w14:paraId="0FBB00D2"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1" w:space="0" w:color="000000"/>
              <w:bottom w:val="single" w:sz="1" w:space="0" w:color="000000"/>
              <w:right w:val="single" w:sz="1" w:space="0" w:color="000000"/>
            </w:tcBorders>
            <w:shd w:val="clear" w:color="auto" w:fill="auto"/>
          </w:tcPr>
          <w:p w14:paraId="141B3655"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Opportunities for patient / public involvement &amp; collaboration?</w:t>
            </w:r>
          </w:p>
        </w:tc>
        <w:tc>
          <w:tcPr>
            <w:tcW w:w="1134" w:type="dxa"/>
            <w:tcBorders>
              <w:left w:val="single" w:sz="1" w:space="0" w:color="000000"/>
              <w:bottom w:val="single" w:sz="1" w:space="0" w:color="000000"/>
              <w:right w:val="single" w:sz="1" w:space="0" w:color="000000"/>
            </w:tcBorders>
          </w:tcPr>
          <w:p w14:paraId="73001DA3"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left w:val="single" w:sz="1" w:space="0" w:color="000000"/>
              <w:bottom w:val="single" w:sz="1" w:space="0" w:color="000000"/>
              <w:right w:val="single" w:sz="1" w:space="0" w:color="000000"/>
            </w:tcBorders>
          </w:tcPr>
          <w:p w14:paraId="667DF059"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6F29C212" w14:textId="77777777" w:rsidTr="00155464">
        <w:trPr>
          <w:cantSplit/>
        </w:trPr>
        <w:tc>
          <w:tcPr>
            <w:tcW w:w="2127" w:type="dxa"/>
            <w:vMerge w:val="restart"/>
            <w:tcBorders>
              <w:top w:val="single" w:sz="2" w:space="0" w:color="000000"/>
              <w:left w:val="single" w:sz="2" w:space="0" w:color="000000"/>
              <w:bottom w:val="single" w:sz="2" w:space="0" w:color="000000"/>
            </w:tcBorders>
            <w:shd w:val="clear" w:color="auto" w:fill="auto"/>
          </w:tcPr>
          <w:p w14:paraId="5A3B447B"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Complexity of intervention</w:t>
            </w:r>
          </w:p>
        </w:tc>
        <w:tc>
          <w:tcPr>
            <w:tcW w:w="3260" w:type="dxa"/>
            <w:tcBorders>
              <w:left w:val="single" w:sz="1" w:space="0" w:color="000000"/>
              <w:bottom w:val="single" w:sz="4" w:space="0" w:color="auto"/>
              <w:right w:val="single" w:sz="1" w:space="0" w:color="000000"/>
            </w:tcBorders>
            <w:shd w:val="clear" w:color="auto" w:fill="auto"/>
          </w:tcPr>
          <w:p w14:paraId="2EBF170C"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 xml:space="preserve">Logistical clinical coordination - planning, procurement, </w:t>
            </w:r>
            <w:proofErr w:type="gramStart"/>
            <w:r w:rsidRPr="00A64BC3">
              <w:rPr>
                <w:rFonts w:eastAsia="SimSun" w:cstheme="minorHAnsi"/>
                <w:kern w:val="1"/>
                <w:lang w:eastAsia="hi-IN" w:bidi="hi-IN"/>
              </w:rPr>
              <w:t>production</w:t>
            </w:r>
            <w:proofErr w:type="gramEnd"/>
            <w:r w:rsidRPr="00A64BC3">
              <w:rPr>
                <w:rFonts w:eastAsia="SimSun" w:cstheme="minorHAnsi"/>
                <w:kern w:val="1"/>
                <w:lang w:eastAsia="hi-IN" w:bidi="hi-IN"/>
              </w:rPr>
              <w:t xml:space="preserve"> and distribution (within shelf life) for each individual patient?</w:t>
            </w:r>
          </w:p>
        </w:tc>
        <w:tc>
          <w:tcPr>
            <w:tcW w:w="1134" w:type="dxa"/>
            <w:tcBorders>
              <w:left w:val="single" w:sz="1" w:space="0" w:color="000000"/>
              <w:bottom w:val="single" w:sz="4" w:space="0" w:color="auto"/>
              <w:right w:val="single" w:sz="1" w:space="0" w:color="000000"/>
            </w:tcBorders>
          </w:tcPr>
          <w:p w14:paraId="73E40491"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left w:val="single" w:sz="1" w:space="0" w:color="000000"/>
              <w:right w:val="single" w:sz="1" w:space="0" w:color="000000"/>
            </w:tcBorders>
          </w:tcPr>
          <w:p w14:paraId="0D902D62"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7D434C70" w14:textId="77777777" w:rsidTr="00155464">
        <w:trPr>
          <w:cantSplit/>
        </w:trPr>
        <w:tc>
          <w:tcPr>
            <w:tcW w:w="2127" w:type="dxa"/>
            <w:vMerge/>
            <w:tcBorders>
              <w:left w:val="single" w:sz="2" w:space="0" w:color="000000"/>
              <w:bottom w:val="single" w:sz="2" w:space="0" w:color="000000"/>
              <w:right w:val="single" w:sz="2" w:space="0" w:color="000000"/>
            </w:tcBorders>
            <w:shd w:val="clear" w:color="auto" w:fill="auto"/>
          </w:tcPr>
          <w:p w14:paraId="30071298"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2" w:space="0" w:color="000000"/>
              <w:bottom w:val="single" w:sz="2" w:space="0" w:color="000000"/>
              <w:right w:val="single" w:sz="2" w:space="0" w:color="000000"/>
            </w:tcBorders>
            <w:shd w:val="clear" w:color="auto" w:fill="auto"/>
          </w:tcPr>
          <w:p w14:paraId="1A6113FC"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 xml:space="preserve">Appropriate clinical infrastructure for administering treatments and supportive treatments? </w:t>
            </w:r>
          </w:p>
        </w:tc>
        <w:tc>
          <w:tcPr>
            <w:tcW w:w="1134" w:type="dxa"/>
            <w:tcBorders>
              <w:top w:val="single" w:sz="4" w:space="0" w:color="auto"/>
              <w:left w:val="single" w:sz="2" w:space="0" w:color="000000"/>
              <w:bottom w:val="single" w:sz="2" w:space="0" w:color="000000"/>
              <w:right w:val="single" w:sz="2" w:space="0" w:color="000000"/>
            </w:tcBorders>
          </w:tcPr>
          <w:p w14:paraId="194857F5"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left w:val="single" w:sz="2" w:space="0" w:color="000000"/>
              <w:bottom w:val="single" w:sz="2" w:space="0" w:color="000000"/>
              <w:right w:val="single" w:sz="2" w:space="0" w:color="000000"/>
            </w:tcBorders>
          </w:tcPr>
          <w:p w14:paraId="07630855"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7E3A5767" w14:textId="77777777" w:rsidTr="00155464">
        <w:trPr>
          <w:cantSplit/>
        </w:trPr>
        <w:tc>
          <w:tcPr>
            <w:tcW w:w="2127" w:type="dxa"/>
            <w:vMerge/>
            <w:tcBorders>
              <w:left w:val="single" w:sz="2" w:space="0" w:color="000000"/>
              <w:bottom w:val="single" w:sz="2" w:space="0" w:color="000000"/>
            </w:tcBorders>
            <w:shd w:val="clear" w:color="auto" w:fill="auto"/>
          </w:tcPr>
          <w:p w14:paraId="19D8614C"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2" w:space="0" w:color="000000"/>
              <w:left w:val="single" w:sz="1" w:space="0" w:color="000000"/>
              <w:bottom w:val="single" w:sz="1" w:space="0" w:color="000000"/>
              <w:right w:val="single" w:sz="1" w:space="0" w:color="000000"/>
            </w:tcBorders>
            <w:shd w:val="clear" w:color="auto" w:fill="auto"/>
          </w:tcPr>
          <w:p w14:paraId="1D1956C9"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Reactive and flexible structures are in place to allow staff training as required?</w:t>
            </w:r>
          </w:p>
        </w:tc>
        <w:tc>
          <w:tcPr>
            <w:tcW w:w="1134" w:type="dxa"/>
            <w:tcBorders>
              <w:top w:val="single" w:sz="2" w:space="0" w:color="000000"/>
              <w:left w:val="single" w:sz="1" w:space="0" w:color="000000"/>
              <w:bottom w:val="single" w:sz="1" w:space="0" w:color="000000"/>
              <w:right w:val="single" w:sz="1" w:space="0" w:color="000000"/>
            </w:tcBorders>
          </w:tcPr>
          <w:p w14:paraId="70231D01"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top w:val="single" w:sz="2" w:space="0" w:color="000000"/>
              <w:left w:val="single" w:sz="1" w:space="0" w:color="000000"/>
              <w:bottom w:val="single" w:sz="2" w:space="0" w:color="000000"/>
              <w:right w:val="single" w:sz="1" w:space="0" w:color="000000"/>
            </w:tcBorders>
          </w:tcPr>
          <w:p w14:paraId="0E1CB437"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06D8F4B1" w14:textId="77777777" w:rsidTr="00155464">
        <w:trPr>
          <w:cantSplit/>
          <w:trHeight w:val="844"/>
        </w:trPr>
        <w:tc>
          <w:tcPr>
            <w:tcW w:w="2127" w:type="dxa"/>
            <w:tcBorders>
              <w:top w:val="single" w:sz="2" w:space="0" w:color="000000"/>
              <w:left w:val="single" w:sz="2" w:space="0" w:color="000000"/>
              <w:bottom w:val="single" w:sz="4" w:space="0" w:color="auto"/>
              <w:right w:val="single" w:sz="2" w:space="0" w:color="000000"/>
            </w:tcBorders>
            <w:shd w:val="clear" w:color="auto" w:fill="auto"/>
          </w:tcPr>
          <w:p w14:paraId="1F37F7D1"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lastRenderedPageBreak/>
              <w:t>Governance</w:t>
            </w:r>
          </w:p>
          <w:p w14:paraId="412AC7E5" w14:textId="77777777" w:rsidR="000E4FE1" w:rsidRPr="00DF1E42" w:rsidRDefault="000E4FE1" w:rsidP="00155464">
            <w:pPr>
              <w:widowControl w:val="0"/>
              <w:suppressAutoHyphens/>
              <w:spacing w:after="0" w:line="240" w:lineRule="auto"/>
              <w:rPr>
                <w:rFonts w:eastAsia="SimSun" w:cstheme="minorHAnsi"/>
                <w:b/>
                <w:kern w:val="1"/>
                <w:lang w:eastAsia="hi-IN" w:bidi="hi-IN"/>
              </w:rPr>
            </w:pPr>
          </w:p>
        </w:tc>
        <w:tc>
          <w:tcPr>
            <w:tcW w:w="3260" w:type="dxa"/>
            <w:tcBorders>
              <w:left w:val="single" w:sz="2" w:space="0" w:color="000000"/>
              <w:bottom w:val="single" w:sz="4" w:space="0" w:color="auto"/>
              <w:right w:val="single" w:sz="1" w:space="0" w:color="000000"/>
            </w:tcBorders>
            <w:shd w:val="clear" w:color="auto" w:fill="auto"/>
          </w:tcPr>
          <w:p w14:paraId="21437429"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Clear governance structures exist and can be evidenced for clinical trial and/or licensed medicines usage</w:t>
            </w:r>
          </w:p>
        </w:tc>
        <w:tc>
          <w:tcPr>
            <w:tcW w:w="1134" w:type="dxa"/>
            <w:tcBorders>
              <w:left w:val="single" w:sz="1" w:space="0" w:color="000000"/>
              <w:bottom w:val="single" w:sz="4" w:space="0" w:color="auto"/>
              <w:right w:val="single" w:sz="1" w:space="0" w:color="000000"/>
            </w:tcBorders>
          </w:tcPr>
          <w:p w14:paraId="33CC05D0" w14:textId="77777777" w:rsidR="000E4FE1" w:rsidRPr="00A64BC3" w:rsidRDefault="000E4FE1" w:rsidP="00155464">
            <w:pPr>
              <w:widowControl w:val="0"/>
              <w:suppressLineNumbers/>
              <w:suppressAutoHyphens/>
              <w:spacing w:beforeLines="60" w:before="144" w:afterLines="60" w:after="144" w:line="240" w:lineRule="auto"/>
              <w:jc w:val="center"/>
              <w:rPr>
                <w:rFonts w:eastAsia="SimSun" w:cstheme="minorHAnsi"/>
                <w:kern w:val="1"/>
                <w:lang w:eastAsia="hi-IN" w:bidi="hi-IN"/>
              </w:rPr>
            </w:pPr>
          </w:p>
        </w:tc>
        <w:tc>
          <w:tcPr>
            <w:tcW w:w="3686" w:type="dxa"/>
            <w:tcBorders>
              <w:top w:val="single" w:sz="2" w:space="0" w:color="000000"/>
              <w:left w:val="single" w:sz="2" w:space="0" w:color="000000"/>
              <w:bottom w:val="single" w:sz="4" w:space="0" w:color="auto"/>
              <w:right w:val="single" w:sz="2" w:space="0" w:color="000000"/>
            </w:tcBorders>
          </w:tcPr>
          <w:p w14:paraId="3507C9E4"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r>
      <w:tr w:rsidR="000E4FE1" w:rsidRPr="00EF158D" w14:paraId="64C44E82" w14:textId="77777777" w:rsidTr="00155464">
        <w:trPr>
          <w:cantSplit/>
        </w:trPr>
        <w:tc>
          <w:tcPr>
            <w:tcW w:w="2127" w:type="dxa"/>
            <w:vMerge w:val="restart"/>
            <w:tcBorders>
              <w:top w:val="single" w:sz="4" w:space="0" w:color="auto"/>
              <w:left w:val="single" w:sz="1" w:space="0" w:color="000000"/>
              <w:right w:val="single" w:sz="2" w:space="0" w:color="000000"/>
            </w:tcBorders>
            <w:shd w:val="clear" w:color="auto" w:fill="auto"/>
          </w:tcPr>
          <w:p w14:paraId="4C2FDB01"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Perceptions of ATMP technology</w:t>
            </w:r>
          </w:p>
        </w:tc>
        <w:tc>
          <w:tcPr>
            <w:tcW w:w="3260" w:type="dxa"/>
            <w:tcBorders>
              <w:top w:val="single" w:sz="4" w:space="0" w:color="auto"/>
              <w:left w:val="single" w:sz="2" w:space="0" w:color="000000"/>
              <w:bottom w:val="single" w:sz="4" w:space="0" w:color="auto"/>
              <w:right w:val="single" w:sz="2" w:space="0" w:color="000000"/>
            </w:tcBorders>
            <w:shd w:val="clear" w:color="auto" w:fill="auto"/>
          </w:tcPr>
          <w:p w14:paraId="62F191C0"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 xml:space="preserve">Goal alignment of front-line clinicians, administrators, managers and other stakeholders? </w:t>
            </w:r>
            <w:proofErr w:type="gramStart"/>
            <w:r w:rsidRPr="00A64BC3">
              <w:rPr>
                <w:rFonts w:eastAsia="SimSun" w:cstheme="minorHAnsi"/>
                <w:kern w:val="1"/>
                <w:lang w:eastAsia="hi-IN" w:bidi="hi-IN"/>
              </w:rPr>
              <w:t>e.g.</w:t>
            </w:r>
            <w:proofErr w:type="gramEnd"/>
            <w:r w:rsidRPr="00A64BC3">
              <w:rPr>
                <w:rFonts w:eastAsia="SimSun" w:cstheme="minorHAnsi"/>
                <w:kern w:val="1"/>
                <w:lang w:eastAsia="hi-IN" w:bidi="hi-IN"/>
              </w:rPr>
              <w:t xml:space="preserve"> CAR-T – growth of product would require more ITU beds.</w:t>
            </w:r>
          </w:p>
        </w:tc>
        <w:tc>
          <w:tcPr>
            <w:tcW w:w="1134" w:type="dxa"/>
            <w:tcBorders>
              <w:top w:val="single" w:sz="4" w:space="0" w:color="auto"/>
              <w:left w:val="single" w:sz="2" w:space="0" w:color="000000"/>
              <w:bottom w:val="single" w:sz="4" w:space="0" w:color="auto"/>
              <w:right w:val="single" w:sz="2" w:space="0" w:color="000000"/>
            </w:tcBorders>
          </w:tcPr>
          <w:p w14:paraId="68714B2A"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top w:val="single" w:sz="4" w:space="0" w:color="auto"/>
              <w:left w:val="single" w:sz="2" w:space="0" w:color="000000"/>
              <w:bottom w:val="single" w:sz="4" w:space="0" w:color="auto"/>
              <w:right w:val="single" w:sz="2" w:space="0" w:color="000000"/>
            </w:tcBorders>
            <w:shd w:val="clear" w:color="auto" w:fill="auto"/>
          </w:tcPr>
          <w:p w14:paraId="5D5D70FC"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4A345042" w14:textId="77777777" w:rsidTr="00155464">
        <w:trPr>
          <w:cantSplit/>
        </w:trPr>
        <w:tc>
          <w:tcPr>
            <w:tcW w:w="2127" w:type="dxa"/>
            <w:vMerge/>
            <w:tcBorders>
              <w:left w:val="single" w:sz="1" w:space="0" w:color="000000"/>
              <w:bottom w:val="single" w:sz="1" w:space="0" w:color="000000"/>
            </w:tcBorders>
            <w:shd w:val="clear" w:color="auto" w:fill="auto"/>
          </w:tcPr>
          <w:p w14:paraId="5A04BEB2"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1" w:space="0" w:color="000000"/>
              <w:bottom w:val="single" w:sz="1" w:space="0" w:color="000000"/>
              <w:right w:val="single" w:sz="1" w:space="0" w:color="000000"/>
            </w:tcBorders>
            <w:shd w:val="clear" w:color="auto" w:fill="auto"/>
          </w:tcPr>
          <w:p w14:paraId="03149AF8"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Does the ATMP have high profile across the institution/geography?</w:t>
            </w:r>
          </w:p>
        </w:tc>
        <w:tc>
          <w:tcPr>
            <w:tcW w:w="1134" w:type="dxa"/>
            <w:tcBorders>
              <w:top w:val="single" w:sz="4" w:space="0" w:color="auto"/>
              <w:left w:val="single" w:sz="1" w:space="0" w:color="000000"/>
              <w:bottom w:val="single" w:sz="2" w:space="0" w:color="000000"/>
              <w:right w:val="single" w:sz="1" w:space="0" w:color="000000"/>
            </w:tcBorders>
          </w:tcPr>
          <w:p w14:paraId="4889C993"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top w:val="single" w:sz="4" w:space="0" w:color="auto"/>
              <w:left w:val="single" w:sz="1" w:space="0" w:color="000000"/>
              <w:bottom w:val="single" w:sz="1" w:space="0" w:color="000000"/>
              <w:right w:val="single" w:sz="1" w:space="0" w:color="000000"/>
            </w:tcBorders>
            <w:shd w:val="clear" w:color="auto" w:fill="auto"/>
          </w:tcPr>
          <w:p w14:paraId="6906F00F"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5D0874CF" w14:textId="77777777" w:rsidTr="00155464">
        <w:trPr>
          <w:cantSplit/>
        </w:trPr>
        <w:tc>
          <w:tcPr>
            <w:tcW w:w="2127" w:type="dxa"/>
            <w:vMerge w:val="restart"/>
            <w:tcBorders>
              <w:left w:val="single" w:sz="1" w:space="0" w:color="000000"/>
            </w:tcBorders>
            <w:shd w:val="clear" w:color="auto" w:fill="auto"/>
          </w:tcPr>
          <w:p w14:paraId="53F7C187"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Place and mode of harvesting and packaging of starting materials and preparation of ATMP</w:t>
            </w:r>
          </w:p>
        </w:tc>
        <w:tc>
          <w:tcPr>
            <w:tcW w:w="3260" w:type="dxa"/>
            <w:tcBorders>
              <w:left w:val="single" w:sz="1" w:space="0" w:color="000000"/>
              <w:bottom w:val="single" w:sz="4" w:space="0" w:color="auto"/>
              <w:right w:val="single" w:sz="2" w:space="0" w:color="000000"/>
            </w:tcBorders>
            <w:shd w:val="clear" w:color="auto" w:fill="auto"/>
          </w:tcPr>
          <w:p w14:paraId="62C831CE"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r w:rsidRPr="00A64BC3">
              <w:rPr>
                <w:rFonts w:eastAsia="SimSun" w:cstheme="minorHAnsi"/>
                <w:kern w:val="1"/>
                <w:lang w:eastAsia="hi-IN" w:bidi="hi-IN"/>
              </w:rPr>
              <w:t xml:space="preserve">Access to relevant Pharmacy expertise? </w:t>
            </w:r>
            <w:proofErr w:type="gramStart"/>
            <w:r w:rsidRPr="00A64BC3">
              <w:rPr>
                <w:rFonts w:eastAsia="SimSun" w:cstheme="minorHAnsi"/>
                <w:kern w:val="1"/>
                <w:lang w:eastAsia="hi-IN" w:bidi="hi-IN"/>
              </w:rPr>
              <w:t>i.e.</w:t>
            </w:r>
            <w:proofErr w:type="gramEnd"/>
            <w:r w:rsidRPr="00A64BC3">
              <w:rPr>
                <w:rFonts w:eastAsia="SimSun" w:cstheme="minorHAnsi"/>
                <w:kern w:val="1"/>
                <w:lang w:eastAsia="hi-IN" w:bidi="hi-IN"/>
              </w:rPr>
              <w:t xml:space="preserve"> has Pharmacy readiness assessment been completed? </w:t>
            </w:r>
          </w:p>
        </w:tc>
        <w:tc>
          <w:tcPr>
            <w:tcW w:w="1134" w:type="dxa"/>
            <w:tcBorders>
              <w:top w:val="single" w:sz="2" w:space="0" w:color="000000"/>
              <w:left w:val="single" w:sz="2" w:space="0" w:color="000000"/>
              <w:bottom w:val="single" w:sz="4" w:space="0" w:color="auto"/>
              <w:right w:val="single" w:sz="2" w:space="0" w:color="000000"/>
            </w:tcBorders>
          </w:tcPr>
          <w:p w14:paraId="352B9CE7"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c>
          <w:tcPr>
            <w:tcW w:w="3686" w:type="dxa"/>
            <w:tcBorders>
              <w:left w:val="single" w:sz="2" w:space="0" w:color="000000"/>
              <w:bottom w:val="single" w:sz="4" w:space="0" w:color="auto"/>
              <w:right w:val="single" w:sz="1" w:space="0" w:color="000000"/>
            </w:tcBorders>
          </w:tcPr>
          <w:p w14:paraId="652F276D"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r>
      <w:tr w:rsidR="000E4FE1" w:rsidRPr="00EF158D" w14:paraId="153DEDC3" w14:textId="77777777" w:rsidTr="00155464">
        <w:trPr>
          <w:cantSplit/>
        </w:trPr>
        <w:tc>
          <w:tcPr>
            <w:tcW w:w="2127" w:type="dxa"/>
            <w:vMerge/>
            <w:tcBorders>
              <w:left w:val="single" w:sz="1" w:space="0" w:color="000000"/>
            </w:tcBorders>
            <w:shd w:val="clear" w:color="auto" w:fill="auto"/>
          </w:tcPr>
          <w:p w14:paraId="28761ED7"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1" w:space="0" w:color="000000"/>
              <w:bottom w:val="single" w:sz="4" w:space="0" w:color="auto"/>
              <w:right w:val="single" w:sz="1" w:space="0" w:color="000000"/>
            </w:tcBorders>
            <w:shd w:val="clear" w:color="auto" w:fill="auto"/>
          </w:tcPr>
          <w:p w14:paraId="5689D853"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r w:rsidRPr="00A64BC3">
              <w:rPr>
                <w:rFonts w:eastAsia="SimSun" w:cstheme="minorHAnsi"/>
                <w:kern w:val="1"/>
                <w:lang w:eastAsia="hi-IN" w:bidi="hi-IN"/>
              </w:rPr>
              <w:t xml:space="preserve">Are facilities, </w:t>
            </w:r>
            <w:proofErr w:type="gramStart"/>
            <w:r w:rsidRPr="00A64BC3">
              <w:rPr>
                <w:rFonts w:eastAsia="SimSun" w:cstheme="minorHAnsi"/>
                <w:kern w:val="1"/>
                <w:lang w:eastAsia="hi-IN" w:bidi="hi-IN"/>
              </w:rPr>
              <w:t>staff</w:t>
            </w:r>
            <w:proofErr w:type="gramEnd"/>
            <w:r w:rsidRPr="00A64BC3">
              <w:rPr>
                <w:rFonts w:eastAsia="SimSun" w:cstheme="minorHAnsi"/>
                <w:kern w:val="1"/>
                <w:lang w:eastAsia="hi-IN" w:bidi="hi-IN"/>
              </w:rPr>
              <w:t xml:space="preserve"> and systems in place for procurement of starting materials?</w:t>
            </w:r>
          </w:p>
        </w:tc>
        <w:tc>
          <w:tcPr>
            <w:tcW w:w="1134" w:type="dxa"/>
            <w:tcBorders>
              <w:left w:val="single" w:sz="1" w:space="0" w:color="000000"/>
              <w:bottom w:val="single" w:sz="4" w:space="0" w:color="auto"/>
              <w:right w:val="single" w:sz="1" w:space="0" w:color="000000"/>
            </w:tcBorders>
          </w:tcPr>
          <w:p w14:paraId="013CC72A"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c>
          <w:tcPr>
            <w:tcW w:w="3686" w:type="dxa"/>
            <w:tcBorders>
              <w:left w:val="single" w:sz="1" w:space="0" w:color="000000"/>
              <w:bottom w:val="single" w:sz="4" w:space="0" w:color="auto"/>
              <w:right w:val="single" w:sz="1" w:space="0" w:color="000000"/>
            </w:tcBorders>
          </w:tcPr>
          <w:p w14:paraId="13B15606"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p>
        </w:tc>
      </w:tr>
      <w:tr w:rsidR="000E4FE1" w:rsidRPr="00EF158D" w14:paraId="157887E3" w14:textId="77777777" w:rsidTr="00155464">
        <w:trPr>
          <w:cantSplit/>
        </w:trPr>
        <w:tc>
          <w:tcPr>
            <w:tcW w:w="2127" w:type="dxa"/>
            <w:vMerge/>
            <w:tcBorders>
              <w:left w:val="single" w:sz="1" w:space="0" w:color="000000"/>
            </w:tcBorders>
            <w:shd w:val="clear" w:color="auto" w:fill="auto"/>
          </w:tcPr>
          <w:p w14:paraId="03D71F0F"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1" w:space="0" w:color="000000"/>
              <w:bottom w:val="single" w:sz="4" w:space="0" w:color="auto"/>
              <w:right w:val="single" w:sz="1" w:space="0" w:color="000000"/>
            </w:tcBorders>
            <w:shd w:val="clear" w:color="auto" w:fill="auto"/>
          </w:tcPr>
          <w:p w14:paraId="6ECF29AC"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r w:rsidRPr="00A64BC3">
              <w:rPr>
                <w:rFonts w:eastAsia="SimSun" w:cstheme="minorHAnsi"/>
                <w:kern w:val="1"/>
                <w:lang w:eastAsia="hi-IN" w:bidi="hi-IN"/>
              </w:rPr>
              <w:t>Are facilities and processes in place to receive and store products as required?</w:t>
            </w:r>
          </w:p>
        </w:tc>
        <w:tc>
          <w:tcPr>
            <w:tcW w:w="1134" w:type="dxa"/>
            <w:tcBorders>
              <w:top w:val="single" w:sz="4" w:space="0" w:color="auto"/>
              <w:left w:val="single" w:sz="1" w:space="0" w:color="000000"/>
              <w:bottom w:val="single" w:sz="4" w:space="0" w:color="auto"/>
              <w:right w:val="single" w:sz="1" w:space="0" w:color="000000"/>
            </w:tcBorders>
          </w:tcPr>
          <w:p w14:paraId="1C7E9BEB"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c>
          <w:tcPr>
            <w:tcW w:w="3686" w:type="dxa"/>
            <w:tcBorders>
              <w:top w:val="single" w:sz="4" w:space="0" w:color="auto"/>
              <w:left w:val="single" w:sz="1" w:space="0" w:color="000000"/>
              <w:bottom w:val="single" w:sz="4" w:space="0" w:color="auto"/>
              <w:right w:val="single" w:sz="1" w:space="0" w:color="000000"/>
            </w:tcBorders>
          </w:tcPr>
          <w:p w14:paraId="40303BF2"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p>
        </w:tc>
      </w:tr>
      <w:tr w:rsidR="000E4FE1" w:rsidRPr="00EF158D" w14:paraId="0F8DE2A3" w14:textId="77777777" w:rsidTr="00155464">
        <w:trPr>
          <w:cantSplit/>
          <w:trHeight w:val="756"/>
        </w:trPr>
        <w:tc>
          <w:tcPr>
            <w:tcW w:w="2127" w:type="dxa"/>
            <w:vMerge/>
            <w:tcBorders>
              <w:left w:val="single" w:sz="1" w:space="0" w:color="000000"/>
              <w:right w:val="single" w:sz="2" w:space="0" w:color="000000"/>
            </w:tcBorders>
            <w:shd w:val="clear" w:color="auto" w:fill="auto"/>
          </w:tcPr>
          <w:p w14:paraId="4C01C231"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2" w:space="0" w:color="000000"/>
              <w:bottom w:val="single" w:sz="1" w:space="0" w:color="000000"/>
              <w:right w:val="single" w:sz="2" w:space="0" w:color="000000"/>
            </w:tcBorders>
            <w:shd w:val="clear" w:color="auto" w:fill="auto"/>
          </w:tcPr>
          <w:p w14:paraId="7A83AA83"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r w:rsidRPr="00A64BC3">
              <w:rPr>
                <w:rFonts w:eastAsia="SimSun" w:cstheme="minorHAnsi"/>
                <w:kern w:val="1"/>
                <w:lang w:eastAsia="hi-IN" w:bidi="hi-IN"/>
              </w:rPr>
              <w:t>Are processes in place as required for product preparation?</w:t>
            </w:r>
          </w:p>
        </w:tc>
        <w:tc>
          <w:tcPr>
            <w:tcW w:w="1134" w:type="dxa"/>
            <w:tcBorders>
              <w:top w:val="single" w:sz="4" w:space="0" w:color="auto"/>
              <w:left w:val="single" w:sz="2" w:space="0" w:color="000000"/>
              <w:bottom w:val="single" w:sz="1" w:space="0" w:color="000000"/>
              <w:right w:val="single" w:sz="2" w:space="0" w:color="000000"/>
            </w:tcBorders>
          </w:tcPr>
          <w:p w14:paraId="28316631"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c>
          <w:tcPr>
            <w:tcW w:w="3686" w:type="dxa"/>
            <w:tcBorders>
              <w:top w:val="single" w:sz="4" w:space="0" w:color="auto"/>
              <w:left w:val="single" w:sz="2" w:space="0" w:color="000000"/>
              <w:bottom w:val="single" w:sz="1" w:space="0" w:color="000000"/>
              <w:right w:val="single" w:sz="2" w:space="0" w:color="000000"/>
            </w:tcBorders>
          </w:tcPr>
          <w:p w14:paraId="0A2A305C"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p>
        </w:tc>
      </w:tr>
      <w:tr w:rsidR="000E4FE1" w:rsidRPr="00EF158D" w14:paraId="29535FC1" w14:textId="77777777" w:rsidTr="00155464">
        <w:trPr>
          <w:cantSplit/>
        </w:trPr>
        <w:tc>
          <w:tcPr>
            <w:tcW w:w="2127" w:type="dxa"/>
            <w:vMerge w:val="restart"/>
            <w:tcBorders>
              <w:top w:val="single" w:sz="4" w:space="0" w:color="auto"/>
              <w:left w:val="single" w:sz="2" w:space="0" w:color="000000"/>
              <w:bottom w:val="single" w:sz="4" w:space="0" w:color="auto"/>
              <w:right w:val="single" w:sz="2" w:space="0" w:color="000000"/>
            </w:tcBorders>
            <w:shd w:val="clear" w:color="auto" w:fill="auto"/>
          </w:tcPr>
          <w:p w14:paraId="513C36F2"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Quality</w:t>
            </w:r>
          </w:p>
        </w:tc>
        <w:tc>
          <w:tcPr>
            <w:tcW w:w="3260" w:type="dxa"/>
            <w:tcBorders>
              <w:top w:val="single" w:sz="4" w:space="0" w:color="auto"/>
              <w:left w:val="single" w:sz="2" w:space="0" w:color="000000"/>
              <w:bottom w:val="single" w:sz="1" w:space="0" w:color="000000"/>
              <w:right w:val="single" w:sz="1" w:space="0" w:color="000000"/>
            </w:tcBorders>
            <w:shd w:val="clear" w:color="auto" w:fill="auto"/>
          </w:tcPr>
          <w:p w14:paraId="0E14B071"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r w:rsidRPr="00A64BC3">
              <w:rPr>
                <w:rFonts w:eastAsia="SimSun" w:cstheme="minorHAnsi"/>
                <w:kern w:val="1"/>
                <w:lang w:eastAsia="hi-IN" w:bidi="hi-IN"/>
              </w:rPr>
              <w:t xml:space="preserve">Are appropriate Quality Assurance staff in place? </w:t>
            </w:r>
            <w:proofErr w:type="gramStart"/>
            <w:r w:rsidRPr="00A64BC3">
              <w:rPr>
                <w:rFonts w:eastAsia="SimSun" w:cstheme="minorHAnsi"/>
                <w:kern w:val="1"/>
                <w:lang w:eastAsia="hi-IN" w:bidi="hi-IN"/>
              </w:rPr>
              <w:t>e.g.</w:t>
            </w:r>
            <w:proofErr w:type="gramEnd"/>
            <w:r w:rsidRPr="00A64BC3">
              <w:rPr>
                <w:rFonts w:eastAsia="SimSun" w:cstheme="minorHAnsi"/>
                <w:kern w:val="1"/>
                <w:lang w:eastAsia="hi-IN" w:bidi="hi-IN"/>
              </w:rPr>
              <w:t xml:space="preserve"> governance structure in place for supporting the use of specialist clinical trial products out of specification?</w:t>
            </w:r>
          </w:p>
        </w:tc>
        <w:tc>
          <w:tcPr>
            <w:tcW w:w="1134" w:type="dxa"/>
            <w:tcBorders>
              <w:left w:val="single" w:sz="1" w:space="0" w:color="000000"/>
              <w:bottom w:val="single" w:sz="1" w:space="0" w:color="000000"/>
              <w:right w:val="single" w:sz="1" w:space="0" w:color="000000"/>
            </w:tcBorders>
          </w:tcPr>
          <w:p w14:paraId="4AC1A050" w14:textId="77777777" w:rsidR="000E4FE1" w:rsidRPr="00A64BC3" w:rsidRDefault="000E4FE1" w:rsidP="00155464">
            <w:pPr>
              <w:widowControl w:val="0"/>
              <w:suppressAutoHyphens/>
              <w:autoSpaceDE w:val="0"/>
              <w:spacing w:beforeLines="60" w:before="144" w:afterLines="60" w:after="144" w:line="240" w:lineRule="auto"/>
              <w:ind w:right="123"/>
              <w:jc w:val="center"/>
              <w:rPr>
                <w:rFonts w:eastAsia="SimSun" w:cstheme="minorHAnsi"/>
                <w:kern w:val="1"/>
                <w:lang w:eastAsia="hi-IN" w:bidi="hi-IN"/>
              </w:rPr>
            </w:pPr>
          </w:p>
        </w:tc>
        <w:tc>
          <w:tcPr>
            <w:tcW w:w="3686" w:type="dxa"/>
            <w:tcBorders>
              <w:left w:val="single" w:sz="1" w:space="0" w:color="000000"/>
              <w:bottom w:val="single" w:sz="1" w:space="0" w:color="000000"/>
              <w:right w:val="single" w:sz="2" w:space="0" w:color="000000"/>
            </w:tcBorders>
          </w:tcPr>
          <w:p w14:paraId="012FFEEC" w14:textId="77777777" w:rsidR="000E4FE1" w:rsidRPr="00A64BC3" w:rsidRDefault="000E4FE1" w:rsidP="00155464">
            <w:pPr>
              <w:rPr>
                <w:rFonts w:eastAsia="SimSun" w:cstheme="minorHAnsi"/>
                <w:kern w:val="1"/>
                <w:lang w:eastAsia="hi-IN" w:bidi="hi-IN"/>
              </w:rPr>
            </w:pPr>
          </w:p>
        </w:tc>
      </w:tr>
      <w:tr w:rsidR="000E4FE1" w:rsidRPr="00EF158D" w14:paraId="50819992" w14:textId="77777777" w:rsidTr="00155464">
        <w:trPr>
          <w:cantSplit/>
          <w:trHeight w:val="646"/>
        </w:trPr>
        <w:tc>
          <w:tcPr>
            <w:tcW w:w="2127" w:type="dxa"/>
            <w:vMerge/>
            <w:tcBorders>
              <w:left w:val="single" w:sz="2" w:space="0" w:color="000000"/>
              <w:bottom w:val="single" w:sz="4" w:space="0" w:color="auto"/>
              <w:right w:val="single" w:sz="2" w:space="0" w:color="000000"/>
            </w:tcBorders>
            <w:shd w:val="clear" w:color="auto" w:fill="auto"/>
          </w:tcPr>
          <w:p w14:paraId="7E8D358B" w14:textId="77777777" w:rsidR="000E4FE1" w:rsidRPr="00DF1E42" w:rsidRDefault="000E4FE1" w:rsidP="00155464">
            <w:pPr>
              <w:widowControl w:val="0"/>
              <w:suppressAutoHyphens/>
              <w:autoSpaceDE w:val="0"/>
              <w:spacing w:beforeLines="60" w:before="144" w:afterLines="60" w:after="144" w:line="240" w:lineRule="auto"/>
              <w:ind w:left="27" w:right="27"/>
              <w:rPr>
                <w:rFonts w:eastAsia="SimSun" w:cstheme="minorHAnsi"/>
                <w:b/>
                <w:kern w:val="1"/>
                <w:lang w:eastAsia="hi-IN" w:bidi="hi-IN"/>
              </w:rPr>
            </w:pPr>
          </w:p>
        </w:tc>
        <w:tc>
          <w:tcPr>
            <w:tcW w:w="3260" w:type="dxa"/>
            <w:tcBorders>
              <w:left w:val="single" w:sz="2" w:space="0" w:color="000000"/>
              <w:bottom w:val="single" w:sz="4" w:space="0" w:color="auto"/>
              <w:right w:val="single" w:sz="1" w:space="0" w:color="000000"/>
            </w:tcBorders>
            <w:shd w:val="clear" w:color="auto" w:fill="auto"/>
            <w:vAlign w:val="center"/>
          </w:tcPr>
          <w:p w14:paraId="0A4C1750" w14:textId="77777777" w:rsidR="000E4FE1"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Are appropriate Quality Management Systems in place?</w:t>
            </w:r>
          </w:p>
          <w:p w14:paraId="24271308"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c>
          <w:tcPr>
            <w:tcW w:w="1134" w:type="dxa"/>
            <w:tcBorders>
              <w:left w:val="single" w:sz="1" w:space="0" w:color="000000"/>
              <w:bottom w:val="single" w:sz="4" w:space="0" w:color="auto"/>
              <w:right w:val="single" w:sz="1" w:space="0" w:color="000000"/>
            </w:tcBorders>
          </w:tcPr>
          <w:p w14:paraId="0A11F1E0" w14:textId="77777777" w:rsidR="000E4FE1" w:rsidRPr="00A64BC3" w:rsidRDefault="000E4FE1" w:rsidP="00155464">
            <w:pPr>
              <w:widowControl w:val="0"/>
              <w:suppressAutoHyphens/>
              <w:autoSpaceDE w:val="0"/>
              <w:spacing w:beforeLines="60" w:before="144" w:afterLines="60" w:after="144" w:line="240" w:lineRule="auto"/>
              <w:jc w:val="center"/>
              <w:rPr>
                <w:rFonts w:eastAsia="SimSun" w:cstheme="minorHAnsi"/>
                <w:kern w:val="1"/>
                <w:lang w:eastAsia="hi-IN" w:bidi="hi-IN"/>
              </w:rPr>
            </w:pPr>
          </w:p>
        </w:tc>
        <w:tc>
          <w:tcPr>
            <w:tcW w:w="3686" w:type="dxa"/>
            <w:tcBorders>
              <w:left w:val="single" w:sz="1" w:space="0" w:color="000000"/>
              <w:bottom w:val="single" w:sz="4" w:space="0" w:color="auto"/>
              <w:right w:val="single" w:sz="2" w:space="0" w:color="000000"/>
            </w:tcBorders>
          </w:tcPr>
          <w:p w14:paraId="6D78DB4A" w14:textId="77777777" w:rsidR="000E4FE1" w:rsidRPr="00A64BC3" w:rsidRDefault="000E4FE1" w:rsidP="00155464">
            <w:pPr>
              <w:widowControl w:val="0"/>
              <w:suppressAutoHyphens/>
              <w:autoSpaceDE w:val="0"/>
              <w:spacing w:beforeLines="60" w:before="144" w:afterLines="60" w:after="144" w:line="240" w:lineRule="auto"/>
              <w:ind w:right="123"/>
              <w:rPr>
                <w:rFonts w:eastAsia="SimSun" w:cstheme="minorHAnsi"/>
                <w:kern w:val="1"/>
                <w:lang w:eastAsia="hi-IN" w:bidi="hi-IN"/>
              </w:rPr>
            </w:pPr>
          </w:p>
        </w:tc>
      </w:tr>
      <w:tr w:rsidR="000E4FE1" w:rsidRPr="00EF158D" w14:paraId="1099C90E" w14:textId="77777777" w:rsidTr="00155464">
        <w:trPr>
          <w:cantSplit/>
          <w:trHeight w:val="848"/>
        </w:trPr>
        <w:tc>
          <w:tcPr>
            <w:tcW w:w="2127" w:type="dxa"/>
            <w:vMerge w:val="restart"/>
            <w:tcBorders>
              <w:top w:val="single" w:sz="4" w:space="0" w:color="auto"/>
              <w:left w:val="single" w:sz="1" w:space="0" w:color="000000"/>
              <w:right w:val="single" w:sz="2" w:space="0" w:color="000000"/>
            </w:tcBorders>
            <w:shd w:val="clear" w:color="auto" w:fill="auto"/>
          </w:tcPr>
          <w:p w14:paraId="16ED6144" w14:textId="77777777" w:rsidR="000E4FE1" w:rsidRPr="00DF1E42" w:rsidRDefault="000E4FE1" w:rsidP="00155464">
            <w:pPr>
              <w:widowControl w:val="0"/>
              <w:suppressAutoHyphens/>
              <w:autoSpaceDE w:val="0"/>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 xml:space="preserve">Can costs and clinical outcomes be reliably </w:t>
            </w:r>
            <w:r w:rsidRPr="00DF1E42">
              <w:rPr>
                <w:rFonts w:eastAsia="SimSun" w:cstheme="minorHAnsi"/>
                <w:b/>
                <w:kern w:val="1"/>
                <w:lang w:eastAsia="hi-IN" w:bidi="hi-IN"/>
              </w:rPr>
              <w:lastRenderedPageBreak/>
              <w:t xml:space="preserve">monitored? </w:t>
            </w:r>
          </w:p>
          <w:p w14:paraId="2BB91E68" w14:textId="77777777" w:rsidR="000E4FE1" w:rsidRPr="00DF1E42" w:rsidRDefault="000E4FE1" w:rsidP="00155464">
            <w:pPr>
              <w:widowControl w:val="0"/>
              <w:suppressAutoHyphens/>
              <w:autoSpaceDE w:val="0"/>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 xml:space="preserve">Resource and expertise </w:t>
            </w:r>
            <w:proofErr w:type="gramStart"/>
            <w:r w:rsidRPr="00DF1E42">
              <w:rPr>
                <w:rFonts w:eastAsia="SimSun" w:cstheme="minorHAnsi"/>
                <w:b/>
                <w:kern w:val="1"/>
                <w:lang w:eastAsia="hi-IN" w:bidi="hi-IN"/>
              </w:rPr>
              <w:t>is</w:t>
            </w:r>
            <w:proofErr w:type="gramEnd"/>
            <w:r w:rsidRPr="00DF1E42">
              <w:rPr>
                <w:rFonts w:eastAsia="SimSun" w:cstheme="minorHAnsi"/>
                <w:b/>
                <w:kern w:val="1"/>
                <w:lang w:eastAsia="hi-IN" w:bidi="hi-IN"/>
              </w:rPr>
              <w:t xml:space="preserve"> available for data-collection infrastructure?</w:t>
            </w:r>
          </w:p>
        </w:tc>
        <w:tc>
          <w:tcPr>
            <w:tcW w:w="3260" w:type="dxa"/>
            <w:tcBorders>
              <w:top w:val="single" w:sz="4" w:space="0" w:color="auto"/>
              <w:left w:val="single" w:sz="2" w:space="0" w:color="000000"/>
              <w:bottom w:val="single" w:sz="4" w:space="0" w:color="auto"/>
              <w:right w:val="single" w:sz="2" w:space="0" w:color="000000"/>
            </w:tcBorders>
            <w:shd w:val="clear" w:color="auto" w:fill="auto"/>
            <w:vAlign w:val="center"/>
          </w:tcPr>
          <w:p w14:paraId="77D0582A" w14:textId="77777777" w:rsidR="000E4FE1" w:rsidRPr="00D14558" w:rsidRDefault="000E4FE1" w:rsidP="00155464">
            <w:pPr>
              <w:pStyle w:val="ListParagraph"/>
              <w:widowControl w:val="0"/>
              <w:suppressAutoHyphens/>
              <w:autoSpaceDE w:val="0"/>
              <w:spacing w:beforeLines="60" w:before="144" w:afterLines="60" w:after="144" w:line="240" w:lineRule="auto"/>
              <w:ind w:left="0"/>
              <w:rPr>
                <w:rFonts w:eastAsia="SimSun" w:cstheme="minorHAnsi"/>
                <w:kern w:val="1"/>
                <w:lang w:eastAsia="hi-IN" w:bidi="hi-IN"/>
              </w:rPr>
            </w:pPr>
            <w:r w:rsidRPr="00EF158D">
              <w:rPr>
                <w:rFonts w:eastAsia="SimSun" w:cstheme="minorHAnsi"/>
                <w:kern w:val="1"/>
                <w:lang w:eastAsia="hi-IN" w:bidi="hi-IN"/>
              </w:rPr>
              <w:lastRenderedPageBreak/>
              <w:t>Clinical Trials</w:t>
            </w:r>
          </w:p>
          <w:p w14:paraId="0ED3420A" w14:textId="77777777" w:rsidR="000E4FE1" w:rsidRPr="00EF158D" w:rsidRDefault="000E4FE1" w:rsidP="00155464">
            <w:pPr>
              <w:pStyle w:val="ListParagraph"/>
              <w:widowControl w:val="0"/>
              <w:suppressAutoHyphens/>
              <w:autoSpaceDE w:val="0"/>
              <w:spacing w:beforeLines="60" w:before="144" w:afterLines="60" w:after="144" w:line="240" w:lineRule="auto"/>
              <w:ind w:left="0"/>
              <w:rPr>
                <w:rFonts w:eastAsia="SimSun" w:cstheme="minorHAnsi"/>
                <w:kern w:val="1"/>
                <w:lang w:eastAsia="hi-IN" w:bidi="hi-IN"/>
              </w:rPr>
            </w:pPr>
          </w:p>
        </w:tc>
        <w:tc>
          <w:tcPr>
            <w:tcW w:w="1134" w:type="dxa"/>
            <w:tcBorders>
              <w:top w:val="single" w:sz="4" w:space="0" w:color="auto"/>
              <w:left w:val="single" w:sz="2" w:space="0" w:color="000000"/>
              <w:bottom w:val="single" w:sz="4" w:space="0" w:color="auto"/>
              <w:right w:val="single" w:sz="4" w:space="0" w:color="auto"/>
            </w:tcBorders>
            <w:shd w:val="clear" w:color="auto" w:fill="auto"/>
          </w:tcPr>
          <w:p w14:paraId="599939FF" w14:textId="77777777" w:rsidR="000E4FE1" w:rsidRPr="00A64BC3" w:rsidRDefault="000E4FE1" w:rsidP="00155464">
            <w:pPr>
              <w:widowControl w:val="0"/>
              <w:suppressAutoHyphens/>
              <w:autoSpaceDE w:val="0"/>
              <w:spacing w:beforeLines="60" w:before="144" w:afterLines="60" w:after="144" w:line="240" w:lineRule="auto"/>
              <w:ind w:left="360"/>
              <w:rPr>
                <w:rFonts w:eastAsia="SimSun" w:cstheme="minorHAnsi"/>
                <w:kern w:val="1"/>
                <w:lang w:eastAsia="hi-IN" w:bidi="hi-IN"/>
              </w:rPr>
            </w:pPr>
          </w:p>
        </w:tc>
        <w:tc>
          <w:tcPr>
            <w:tcW w:w="3686" w:type="dxa"/>
            <w:tcBorders>
              <w:top w:val="single" w:sz="4" w:space="0" w:color="auto"/>
              <w:left w:val="single" w:sz="4" w:space="0" w:color="auto"/>
              <w:bottom w:val="single" w:sz="4" w:space="0" w:color="auto"/>
              <w:right w:val="single" w:sz="2" w:space="0" w:color="000000"/>
            </w:tcBorders>
          </w:tcPr>
          <w:p w14:paraId="6652C699"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5F3B1D5E" w14:textId="77777777" w:rsidTr="00155464">
        <w:trPr>
          <w:cantSplit/>
          <w:trHeight w:val="1284"/>
        </w:trPr>
        <w:tc>
          <w:tcPr>
            <w:tcW w:w="2127" w:type="dxa"/>
            <w:vMerge/>
            <w:tcBorders>
              <w:left w:val="single" w:sz="1" w:space="0" w:color="000000"/>
              <w:bottom w:val="single" w:sz="2" w:space="0" w:color="000000"/>
              <w:right w:val="single" w:sz="2" w:space="0" w:color="000000"/>
            </w:tcBorders>
            <w:shd w:val="clear" w:color="auto" w:fill="auto"/>
          </w:tcPr>
          <w:p w14:paraId="76C2E005" w14:textId="77777777" w:rsidR="000E4FE1" w:rsidRPr="00A64BC3" w:rsidRDefault="000E4FE1" w:rsidP="00155464">
            <w:pPr>
              <w:widowControl w:val="0"/>
              <w:suppressAutoHyphens/>
              <w:autoSpaceDE w:val="0"/>
              <w:spacing w:beforeLines="60" w:before="144" w:afterLines="60" w:after="144" w:line="240" w:lineRule="auto"/>
              <w:ind w:left="27" w:right="27"/>
              <w:rPr>
                <w:rFonts w:eastAsia="SimSun" w:cstheme="minorHAnsi"/>
                <w:kern w:val="1"/>
                <w:lang w:eastAsia="hi-IN" w:bidi="hi-IN"/>
              </w:rPr>
            </w:pPr>
          </w:p>
        </w:tc>
        <w:tc>
          <w:tcPr>
            <w:tcW w:w="3260" w:type="dxa"/>
            <w:tcBorders>
              <w:top w:val="single" w:sz="4" w:space="0" w:color="auto"/>
              <w:left w:val="single" w:sz="2" w:space="0" w:color="000000"/>
              <w:bottom w:val="single" w:sz="4" w:space="0" w:color="auto"/>
              <w:right w:val="single" w:sz="2" w:space="0" w:color="000000"/>
            </w:tcBorders>
            <w:shd w:val="clear" w:color="auto" w:fill="auto"/>
            <w:vAlign w:val="center"/>
          </w:tcPr>
          <w:p w14:paraId="2D191A07" w14:textId="77777777" w:rsidR="000E4FE1" w:rsidRPr="00EF158D" w:rsidRDefault="000E4FE1" w:rsidP="00155464">
            <w:pPr>
              <w:pStyle w:val="ListParagraph"/>
              <w:widowControl w:val="0"/>
              <w:suppressAutoHyphens/>
              <w:autoSpaceDE w:val="0"/>
              <w:spacing w:beforeLines="60" w:before="144" w:afterLines="60" w:after="144" w:line="240" w:lineRule="auto"/>
              <w:ind w:left="0"/>
              <w:rPr>
                <w:rFonts w:eastAsia="SimSun" w:cstheme="minorHAnsi"/>
                <w:kern w:val="1"/>
                <w:lang w:eastAsia="hi-IN" w:bidi="hi-IN"/>
              </w:rPr>
            </w:pPr>
            <w:r w:rsidRPr="00EF158D">
              <w:rPr>
                <w:rFonts w:eastAsia="SimSun" w:cstheme="minorHAnsi"/>
                <w:color w:val="000000"/>
                <w:kern w:val="1"/>
                <w:lang w:eastAsia="hi-IN" w:bidi="hi-IN"/>
              </w:rPr>
              <w:t>Licensed products including early access to medicines</w:t>
            </w:r>
          </w:p>
        </w:tc>
        <w:tc>
          <w:tcPr>
            <w:tcW w:w="1134" w:type="dxa"/>
            <w:tcBorders>
              <w:left w:val="single" w:sz="2" w:space="0" w:color="000000"/>
              <w:bottom w:val="single" w:sz="4" w:space="0" w:color="auto"/>
              <w:right w:val="single" w:sz="4" w:space="0" w:color="auto"/>
            </w:tcBorders>
            <w:shd w:val="clear" w:color="auto" w:fill="auto"/>
          </w:tcPr>
          <w:p w14:paraId="37083BE9" w14:textId="77777777" w:rsidR="000E4FE1" w:rsidRPr="00A64BC3" w:rsidRDefault="000E4FE1" w:rsidP="00155464">
            <w:pPr>
              <w:widowControl w:val="0"/>
              <w:suppressAutoHyphens/>
              <w:autoSpaceDE w:val="0"/>
              <w:spacing w:beforeLines="60" w:before="144" w:afterLines="60" w:after="144" w:line="240" w:lineRule="auto"/>
              <w:ind w:left="720"/>
              <w:rPr>
                <w:rFonts w:eastAsia="SimSun" w:cstheme="minorHAnsi"/>
                <w:kern w:val="1"/>
                <w:lang w:eastAsia="hi-IN" w:bidi="hi-IN"/>
              </w:rPr>
            </w:pPr>
          </w:p>
        </w:tc>
        <w:tc>
          <w:tcPr>
            <w:tcW w:w="3686" w:type="dxa"/>
            <w:tcBorders>
              <w:top w:val="single" w:sz="4" w:space="0" w:color="auto"/>
              <w:left w:val="single" w:sz="4" w:space="0" w:color="auto"/>
              <w:bottom w:val="single" w:sz="4" w:space="0" w:color="auto"/>
              <w:right w:val="single" w:sz="1" w:space="0" w:color="000000"/>
            </w:tcBorders>
          </w:tcPr>
          <w:p w14:paraId="51EF2A6B" w14:textId="77777777" w:rsidR="000E4FE1" w:rsidRPr="00A64BC3" w:rsidRDefault="000E4FE1" w:rsidP="00155464">
            <w:pPr>
              <w:widowControl w:val="0"/>
              <w:suppressAutoHyphens/>
              <w:autoSpaceDE w:val="0"/>
              <w:spacing w:beforeLines="60" w:before="144" w:afterLines="60" w:after="144" w:line="240" w:lineRule="auto"/>
              <w:rPr>
                <w:rFonts w:eastAsia="SimSun" w:cstheme="minorHAnsi"/>
                <w:kern w:val="1"/>
                <w:lang w:eastAsia="hi-IN" w:bidi="hi-IN"/>
              </w:rPr>
            </w:pPr>
          </w:p>
        </w:tc>
      </w:tr>
      <w:tr w:rsidR="000E4FE1" w:rsidRPr="00EF158D" w14:paraId="087E2642" w14:textId="77777777" w:rsidTr="00155464">
        <w:trPr>
          <w:cantSplit/>
          <w:trHeight w:val="881"/>
        </w:trPr>
        <w:tc>
          <w:tcPr>
            <w:tcW w:w="2127" w:type="dxa"/>
            <w:vMerge w:val="restart"/>
            <w:tcBorders>
              <w:top w:val="single" w:sz="2" w:space="0" w:color="000000"/>
              <w:left w:val="single" w:sz="2" w:space="0" w:color="000000"/>
              <w:bottom w:val="single" w:sz="4" w:space="0" w:color="auto"/>
              <w:right w:val="single" w:sz="2" w:space="0" w:color="000000"/>
            </w:tcBorders>
            <w:shd w:val="clear" w:color="auto" w:fill="auto"/>
          </w:tcPr>
          <w:p w14:paraId="79E27876"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 xml:space="preserve">Funding </w:t>
            </w:r>
          </w:p>
          <w:p w14:paraId="0034347E"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Resource and expertise available to secure appropriate funding and cost pathways [capital and revenue]?</w:t>
            </w:r>
          </w:p>
        </w:tc>
        <w:tc>
          <w:tcPr>
            <w:tcW w:w="3260" w:type="dxa"/>
            <w:tcBorders>
              <w:top w:val="single" w:sz="4" w:space="0" w:color="auto"/>
              <w:left w:val="single" w:sz="2" w:space="0" w:color="000000"/>
              <w:bottom w:val="single" w:sz="4" w:space="0" w:color="auto"/>
              <w:right w:val="single" w:sz="2" w:space="0" w:color="000000"/>
            </w:tcBorders>
            <w:shd w:val="clear" w:color="auto" w:fill="auto"/>
          </w:tcPr>
          <w:p w14:paraId="6DCE6F5B" w14:textId="77777777" w:rsidR="000E4FE1" w:rsidRPr="00EF158D" w:rsidRDefault="000E4FE1" w:rsidP="00155464">
            <w:pPr>
              <w:pStyle w:val="ListParagraph"/>
              <w:widowControl w:val="0"/>
              <w:suppressLineNumbers/>
              <w:tabs>
                <w:tab w:val="left" w:pos="539"/>
              </w:tabs>
              <w:suppressAutoHyphens/>
              <w:spacing w:beforeLines="60" w:before="144" w:afterLines="60" w:after="144" w:line="240" w:lineRule="auto"/>
              <w:ind w:left="0"/>
              <w:rPr>
                <w:rFonts w:eastAsia="SimSun" w:cstheme="minorHAnsi"/>
                <w:kern w:val="1"/>
                <w:lang w:eastAsia="hi-IN" w:bidi="hi-IN"/>
              </w:rPr>
            </w:pPr>
            <w:r w:rsidRPr="00EF158D">
              <w:rPr>
                <w:rFonts w:eastAsia="SimSun" w:cstheme="minorHAnsi"/>
                <w:kern w:val="1"/>
                <w:lang w:eastAsia="hi-IN" w:bidi="hi-IN"/>
              </w:rPr>
              <w:t>Clinical trials</w:t>
            </w:r>
          </w:p>
        </w:tc>
        <w:tc>
          <w:tcPr>
            <w:tcW w:w="1134" w:type="dxa"/>
            <w:tcBorders>
              <w:top w:val="single" w:sz="2" w:space="0" w:color="000000"/>
              <w:left w:val="single" w:sz="2" w:space="0" w:color="000000"/>
              <w:bottom w:val="single" w:sz="4" w:space="0" w:color="auto"/>
              <w:right w:val="single" w:sz="2" w:space="0" w:color="000000"/>
            </w:tcBorders>
            <w:shd w:val="clear" w:color="auto" w:fill="auto"/>
          </w:tcPr>
          <w:p w14:paraId="2392EEFF"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c>
          <w:tcPr>
            <w:tcW w:w="3686" w:type="dxa"/>
            <w:tcBorders>
              <w:top w:val="single" w:sz="4" w:space="0" w:color="auto"/>
              <w:left w:val="single" w:sz="1" w:space="0" w:color="000000"/>
              <w:bottom w:val="single" w:sz="4" w:space="0" w:color="auto"/>
              <w:right w:val="single" w:sz="2" w:space="0" w:color="000000"/>
            </w:tcBorders>
          </w:tcPr>
          <w:p w14:paraId="56E774F1"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r>
      <w:tr w:rsidR="000E4FE1" w:rsidRPr="00EF158D" w14:paraId="5A1F85E3" w14:textId="77777777" w:rsidTr="00155464">
        <w:trPr>
          <w:cantSplit/>
          <w:trHeight w:val="881"/>
        </w:trPr>
        <w:tc>
          <w:tcPr>
            <w:tcW w:w="2127" w:type="dxa"/>
            <w:vMerge/>
            <w:tcBorders>
              <w:left w:val="single" w:sz="2" w:space="0" w:color="000000"/>
              <w:bottom w:val="single" w:sz="4" w:space="0" w:color="auto"/>
              <w:right w:val="single" w:sz="2" w:space="0" w:color="000000"/>
            </w:tcBorders>
            <w:shd w:val="clear" w:color="auto" w:fill="auto"/>
          </w:tcPr>
          <w:p w14:paraId="6A8E6A3F"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2" w:space="0" w:color="000000"/>
              <w:bottom w:val="single" w:sz="4" w:space="0" w:color="auto"/>
              <w:right w:val="single" w:sz="2" w:space="0" w:color="000000"/>
            </w:tcBorders>
            <w:shd w:val="clear" w:color="auto" w:fill="auto"/>
            <w:vAlign w:val="center"/>
          </w:tcPr>
          <w:p w14:paraId="748EDC88" w14:textId="77777777" w:rsidR="000E4FE1" w:rsidRPr="00EF158D" w:rsidRDefault="000E4FE1" w:rsidP="00155464">
            <w:pPr>
              <w:pStyle w:val="ListParagraph"/>
              <w:widowControl w:val="0"/>
              <w:suppressLineNumbers/>
              <w:tabs>
                <w:tab w:val="left" w:pos="539"/>
              </w:tabs>
              <w:suppressAutoHyphens/>
              <w:spacing w:beforeLines="60" w:before="144" w:afterLines="60" w:after="144" w:line="240" w:lineRule="auto"/>
              <w:ind w:left="0"/>
              <w:rPr>
                <w:rFonts w:eastAsia="SimSun" w:cstheme="minorHAnsi"/>
                <w:kern w:val="1"/>
                <w:lang w:eastAsia="hi-IN" w:bidi="hi-IN"/>
              </w:rPr>
            </w:pPr>
            <w:r w:rsidRPr="00EF158D">
              <w:rPr>
                <w:rFonts w:eastAsia="SimSun" w:cstheme="minorHAnsi"/>
                <w:color w:val="000000"/>
                <w:kern w:val="1"/>
                <w:lang w:eastAsia="hi-IN" w:bidi="hi-IN"/>
              </w:rPr>
              <w:t>Licensed products including early access to medicines</w:t>
            </w:r>
          </w:p>
        </w:tc>
        <w:tc>
          <w:tcPr>
            <w:tcW w:w="1134" w:type="dxa"/>
            <w:tcBorders>
              <w:top w:val="single" w:sz="2" w:space="0" w:color="000000"/>
              <w:left w:val="single" w:sz="2" w:space="0" w:color="000000"/>
              <w:bottom w:val="single" w:sz="4" w:space="0" w:color="auto"/>
              <w:right w:val="single" w:sz="1" w:space="0" w:color="000000"/>
            </w:tcBorders>
            <w:shd w:val="clear" w:color="auto" w:fill="auto"/>
          </w:tcPr>
          <w:p w14:paraId="27AF51F5"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c>
          <w:tcPr>
            <w:tcW w:w="3686" w:type="dxa"/>
            <w:tcBorders>
              <w:top w:val="single" w:sz="4" w:space="0" w:color="auto"/>
              <w:left w:val="single" w:sz="1" w:space="0" w:color="000000"/>
              <w:bottom w:val="single" w:sz="4" w:space="0" w:color="auto"/>
              <w:right w:val="single" w:sz="1" w:space="0" w:color="000000"/>
            </w:tcBorders>
          </w:tcPr>
          <w:p w14:paraId="0BE7E3EC"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r>
      <w:tr w:rsidR="000E4FE1" w:rsidRPr="00EF158D" w14:paraId="7C1DF0BA" w14:textId="77777777" w:rsidTr="00155464">
        <w:trPr>
          <w:cantSplit/>
        </w:trPr>
        <w:tc>
          <w:tcPr>
            <w:tcW w:w="2127" w:type="dxa"/>
            <w:tcBorders>
              <w:top w:val="single" w:sz="4" w:space="0" w:color="auto"/>
              <w:left w:val="single" w:sz="2" w:space="0" w:color="000000"/>
              <w:bottom w:val="single" w:sz="2" w:space="0" w:color="000000"/>
              <w:right w:val="single" w:sz="2" w:space="0" w:color="000000"/>
            </w:tcBorders>
            <w:shd w:val="clear" w:color="auto" w:fill="auto"/>
          </w:tcPr>
          <w:p w14:paraId="0660354D"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r w:rsidRPr="00DF1E42">
              <w:rPr>
                <w:rFonts w:eastAsia="SimSun" w:cstheme="minorHAnsi"/>
                <w:b/>
                <w:kern w:val="1"/>
                <w:lang w:eastAsia="hi-IN" w:bidi="hi-IN"/>
              </w:rPr>
              <w:t>Others</w:t>
            </w:r>
          </w:p>
          <w:p w14:paraId="33E98AAA" w14:textId="77777777" w:rsidR="000E4FE1" w:rsidRPr="00DF1E42" w:rsidRDefault="000E4FE1" w:rsidP="00155464">
            <w:pPr>
              <w:widowControl w:val="0"/>
              <w:suppressLineNumbers/>
              <w:suppressAutoHyphens/>
              <w:spacing w:beforeLines="60" w:before="144" w:afterLines="60" w:after="144" w:line="240" w:lineRule="auto"/>
              <w:rPr>
                <w:rFonts w:eastAsia="SimSun" w:cstheme="minorHAnsi"/>
                <w:b/>
                <w:kern w:val="1"/>
                <w:lang w:eastAsia="hi-IN" w:bidi="hi-IN"/>
              </w:rPr>
            </w:pPr>
          </w:p>
        </w:tc>
        <w:tc>
          <w:tcPr>
            <w:tcW w:w="3260" w:type="dxa"/>
            <w:tcBorders>
              <w:top w:val="single" w:sz="4" w:space="0" w:color="auto"/>
              <w:left w:val="single" w:sz="2" w:space="0" w:color="000000"/>
              <w:bottom w:val="single" w:sz="2" w:space="0" w:color="000000"/>
              <w:right w:val="single" w:sz="2" w:space="0" w:color="000000"/>
            </w:tcBorders>
            <w:shd w:val="clear" w:color="auto" w:fill="auto"/>
          </w:tcPr>
          <w:p w14:paraId="21795E5F"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r w:rsidRPr="00A64BC3">
              <w:rPr>
                <w:rFonts w:eastAsia="SimSun" w:cstheme="minorHAnsi"/>
                <w:kern w:val="1"/>
                <w:lang w:eastAsia="hi-IN" w:bidi="hi-IN"/>
              </w:rPr>
              <w:t xml:space="preserve">Is there a mechanism to complete and approve local business case(s) through Trust/Board governance channels? </w:t>
            </w:r>
          </w:p>
        </w:tc>
        <w:tc>
          <w:tcPr>
            <w:tcW w:w="1134" w:type="dxa"/>
            <w:tcBorders>
              <w:top w:val="single" w:sz="4" w:space="0" w:color="auto"/>
              <w:left w:val="single" w:sz="2" w:space="0" w:color="000000"/>
              <w:bottom w:val="single" w:sz="2" w:space="0" w:color="000000"/>
              <w:right w:val="single" w:sz="2" w:space="0" w:color="000000"/>
            </w:tcBorders>
          </w:tcPr>
          <w:p w14:paraId="48262858" w14:textId="77777777" w:rsidR="000E4FE1" w:rsidRPr="00A64BC3" w:rsidRDefault="000E4FE1" w:rsidP="00155464">
            <w:pPr>
              <w:widowControl w:val="0"/>
              <w:suppressLineNumbers/>
              <w:suppressAutoHyphens/>
              <w:spacing w:beforeLines="60" w:before="144" w:afterLines="60" w:after="144" w:line="240" w:lineRule="auto"/>
              <w:jc w:val="center"/>
              <w:rPr>
                <w:rFonts w:eastAsia="SimSun" w:cstheme="minorHAnsi"/>
                <w:kern w:val="1"/>
                <w:lang w:eastAsia="hi-IN" w:bidi="hi-IN"/>
              </w:rPr>
            </w:pPr>
          </w:p>
        </w:tc>
        <w:tc>
          <w:tcPr>
            <w:tcW w:w="3686" w:type="dxa"/>
            <w:tcBorders>
              <w:top w:val="single" w:sz="4" w:space="0" w:color="auto"/>
              <w:left w:val="single" w:sz="2" w:space="0" w:color="000000"/>
              <w:bottom w:val="single" w:sz="2" w:space="0" w:color="000000"/>
              <w:right w:val="single" w:sz="2" w:space="0" w:color="000000"/>
            </w:tcBorders>
          </w:tcPr>
          <w:p w14:paraId="7AE69CE5" w14:textId="77777777" w:rsidR="000E4FE1" w:rsidRPr="00A64BC3" w:rsidRDefault="000E4FE1" w:rsidP="00155464">
            <w:pPr>
              <w:widowControl w:val="0"/>
              <w:suppressLineNumbers/>
              <w:suppressAutoHyphens/>
              <w:spacing w:beforeLines="60" w:before="144" w:afterLines="60" w:after="144" w:line="240" w:lineRule="auto"/>
              <w:rPr>
                <w:rFonts w:eastAsia="SimSun" w:cstheme="minorHAnsi"/>
                <w:kern w:val="1"/>
                <w:lang w:eastAsia="hi-IN" w:bidi="hi-IN"/>
              </w:rPr>
            </w:pPr>
          </w:p>
        </w:tc>
      </w:tr>
    </w:tbl>
    <w:p w14:paraId="020C896F" w14:textId="77777777" w:rsidR="00A64BC3" w:rsidRPr="00A64BC3" w:rsidRDefault="00A64BC3" w:rsidP="00A64BC3">
      <w:pPr>
        <w:widowControl w:val="0"/>
        <w:suppressAutoHyphens/>
        <w:spacing w:after="0" w:line="240" w:lineRule="auto"/>
        <w:rPr>
          <w:rFonts w:eastAsia="SimSun" w:cstheme="minorHAnsi"/>
          <w:kern w:val="1"/>
          <w:sz w:val="24"/>
          <w:szCs w:val="24"/>
          <w:lang w:eastAsia="hi-IN" w:bidi="hi-IN"/>
        </w:rPr>
      </w:pPr>
    </w:p>
    <w:p w14:paraId="4AA8DB86" w14:textId="77777777" w:rsidR="00F31038" w:rsidRDefault="00F31038" w:rsidP="00F31038">
      <w:pPr>
        <w:rPr>
          <w:rFonts w:eastAsia="SimSun" w:cstheme="minorHAnsi"/>
          <w:kern w:val="1"/>
          <w:sz w:val="24"/>
          <w:szCs w:val="24"/>
          <w:lang w:eastAsia="hi-IN" w:bidi="hi-IN"/>
        </w:rPr>
      </w:pPr>
    </w:p>
    <w:p w14:paraId="4AFA7474" w14:textId="77777777" w:rsidR="00F31038" w:rsidRPr="00A64BC3" w:rsidRDefault="00F31038" w:rsidP="00F31038">
      <w:pPr>
        <w:tabs>
          <w:tab w:val="left" w:pos="1701"/>
        </w:tabs>
        <w:spacing w:after="0" w:line="240" w:lineRule="auto"/>
        <w:rPr>
          <w:rFonts w:ascii="Calibri" w:eastAsia="Times New Roman" w:hAnsi="Calibri" w:cs="Calibri"/>
          <w:b/>
          <w:lang w:eastAsia="en-GB"/>
        </w:rPr>
      </w:pPr>
      <w:r w:rsidRPr="00A64BC3">
        <w:rPr>
          <w:rFonts w:ascii="Calibri" w:eastAsia="Times New Roman" w:hAnsi="Calibri" w:cs="Calibri"/>
          <w:b/>
          <w:lang w:eastAsia="en-GB"/>
        </w:rPr>
        <w:t>Assessment Measures for each section</w:t>
      </w:r>
    </w:p>
    <w:p w14:paraId="055258A4" w14:textId="77777777" w:rsidR="00F31038" w:rsidRPr="00A64BC3" w:rsidRDefault="00F31038" w:rsidP="00F31038">
      <w:pPr>
        <w:tabs>
          <w:tab w:val="left" w:pos="1701"/>
        </w:tabs>
        <w:spacing w:after="0" w:line="240" w:lineRule="auto"/>
        <w:rPr>
          <w:rFonts w:ascii="Calibri" w:eastAsia="Times New Roman" w:hAnsi="Calibri" w:cs="Calibri"/>
          <w:b/>
          <w:lang w:eastAsia="en-GB"/>
        </w:rPr>
      </w:pPr>
    </w:p>
    <w:tbl>
      <w:tblPr>
        <w:tblStyle w:val="TableGrid"/>
        <w:tblW w:w="10412" w:type="dxa"/>
        <w:tblInd w:w="-289" w:type="dxa"/>
        <w:tblLook w:val="04A0" w:firstRow="1" w:lastRow="0" w:firstColumn="1" w:lastColumn="0" w:noHBand="0" w:noVBand="1"/>
      </w:tblPr>
      <w:tblGrid>
        <w:gridCol w:w="2034"/>
        <w:gridCol w:w="8378"/>
      </w:tblGrid>
      <w:tr w:rsidR="000E4FE1" w:rsidRPr="00A64BC3" w14:paraId="686F7FA1" w14:textId="77777777" w:rsidTr="00D14558">
        <w:trPr>
          <w:trHeight w:val="935"/>
        </w:trPr>
        <w:tc>
          <w:tcPr>
            <w:tcW w:w="2034" w:type="dxa"/>
          </w:tcPr>
          <w:p w14:paraId="431F3E88" w14:textId="5B147895" w:rsidR="000E4FE1" w:rsidRPr="00A64BC3" w:rsidRDefault="000E4FE1" w:rsidP="000E4FE1">
            <w:pPr>
              <w:tabs>
                <w:tab w:val="left" w:pos="1701"/>
              </w:tabs>
              <w:spacing w:before="120" w:after="120"/>
              <w:rPr>
                <w:rFonts w:ascii="Calibri" w:eastAsia="Times New Roman" w:hAnsi="Calibri" w:cs="Calibri"/>
                <w:b/>
                <w:lang w:eastAsia="en-GB"/>
              </w:rPr>
            </w:pPr>
            <w:r w:rsidRPr="00A64BC3">
              <w:rPr>
                <w:rFonts w:ascii="Calibri" w:eastAsia="Times New Roman" w:hAnsi="Calibri" w:cs="Calibri"/>
                <w:b/>
                <w:lang w:eastAsia="en-GB"/>
              </w:rPr>
              <w:t xml:space="preserve">Red – Not started </w:t>
            </w:r>
          </w:p>
        </w:tc>
        <w:tc>
          <w:tcPr>
            <w:tcW w:w="8378" w:type="dxa"/>
          </w:tcPr>
          <w:p w14:paraId="20AEAEAA" w14:textId="56BC137D" w:rsidR="000E4FE1" w:rsidRPr="00A64BC3" w:rsidRDefault="000E4FE1" w:rsidP="000E4FE1">
            <w:pPr>
              <w:tabs>
                <w:tab w:val="left" w:pos="1701"/>
              </w:tabs>
              <w:spacing w:before="120" w:after="120"/>
              <w:rPr>
                <w:rFonts w:ascii="Calibri" w:eastAsia="Times New Roman" w:hAnsi="Calibri" w:cs="Calibri"/>
                <w:lang w:eastAsia="en-GB"/>
              </w:rPr>
            </w:pPr>
            <w:r w:rsidRPr="00A64BC3">
              <w:rPr>
                <w:rFonts w:ascii="Calibri" w:eastAsia="Times New Roman" w:hAnsi="Calibri" w:cs="Calibri"/>
                <w:lang w:eastAsia="en-GB"/>
              </w:rPr>
              <w:t xml:space="preserve">In comments section describe whether it is intended to prepare for any or </w:t>
            </w:r>
            <w:proofErr w:type="gramStart"/>
            <w:r w:rsidRPr="00A64BC3">
              <w:rPr>
                <w:rFonts w:ascii="Calibri" w:eastAsia="Times New Roman" w:hAnsi="Calibri" w:cs="Calibri"/>
                <w:lang w:eastAsia="en-GB"/>
              </w:rPr>
              <w:t>all of</w:t>
            </w:r>
            <w:proofErr w:type="gramEnd"/>
            <w:r w:rsidRPr="00A64BC3">
              <w:rPr>
                <w:rFonts w:ascii="Calibri" w:eastAsia="Times New Roman" w:hAnsi="Calibri" w:cs="Calibri"/>
                <w:lang w:eastAsia="en-GB"/>
              </w:rPr>
              <w:t xml:space="preserve"> the </w:t>
            </w:r>
            <w:r>
              <w:rPr>
                <w:rFonts w:ascii="Calibri" w:eastAsia="Times New Roman" w:hAnsi="Calibri" w:cs="Calibri"/>
                <w:lang w:eastAsia="en-GB"/>
              </w:rPr>
              <w:t>ATMP class</w:t>
            </w:r>
            <w:r w:rsidRPr="00A64BC3">
              <w:rPr>
                <w:rFonts w:ascii="Calibri" w:eastAsia="Times New Roman" w:hAnsi="Calibri" w:cs="Calibri"/>
                <w:lang w:eastAsia="en-GB"/>
              </w:rPr>
              <w:t xml:space="preserve"> and any timescales that are currently being discussed.</w:t>
            </w:r>
          </w:p>
        </w:tc>
      </w:tr>
      <w:tr w:rsidR="000E4FE1" w:rsidRPr="00A64BC3" w14:paraId="624FC89E" w14:textId="77777777" w:rsidTr="00D14558">
        <w:trPr>
          <w:trHeight w:val="907"/>
        </w:trPr>
        <w:tc>
          <w:tcPr>
            <w:tcW w:w="2034" w:type="dxa"/>
          </w:tcPr>
          <w:p w14:paraId="18803575" w14:textId="49AC8EE6" w:rsidR="000E4FE1" w:rsidRPr="00A64BC3" w:rsidRDefault="000E4FE1" w:rsidP="000E4FE1">
            <w:pPr>
              <w:tabs>
                <w:tab w:val="left" w:pos="1701"/>
              </w:tabs>
              <w:spacing w:before="120" w:after="120"/>
              <w:rPr>
                <w:rFonts w:ascii="Calibri" w:eastAsia="Times New Roman" w:hAnsi="Calibri" w:cs="Calibri"/>
                <w:b/>
                <w:lang w:eastAsia="en-GB"/>
              </w:rPr>
            </w:pPr>
            <w:r w:rsidRPr="00A64BC3">
              <w:rPr>
                <w:rFonts w:ascii="Calibri" w:eastAsia="Times New Roman" w:hAnsi="Calibri" w:cs="Calibri"/>
                <w:b/>
                <w:lang w:eastAsia="en-GB"/>
              </w:rPr>
              <w:t>Amber – In process of being developed</w:t>
            </w:r>
          </w:p>
        </w:tc>
        <w:tc>
          <w:tcPr>
            <w:tcW w:w="8378" w:type="dxa"/>
          </w:tcPr>
          <w:p w14:paraId="098F878C" w14:textId="32F9C477" w:rsidR="000E4FE1" w:rsidRPr="00A64BC3" w:rsidRDefault="000E4FE1" w:rsidP="000E4FE1">
            <w:pPr>
              <w:tabs>
                <w:tab w:val="left" w:pos="1701"/>
              </w:tabs>
              <w:spacing w:before="120" w:after="120"/>
              <w:rPr>
                <w:rFonts w:ascii="Calibri" w:eastAsia="Times New Roman" w:hAnsi="Calibri" w:cs="Calibri"/>
                <w:lang w:eastAsia="en-GB"/>
              </w:rPr>
            </w:pPr>
            <w:r w:rsidRPr="00A64BC3">
              <w:rPr>
                <w:rFonts w:ascii="Calibri" w:eastAsia="Times New Roman" w:hAnsi="Calibri" w:cs="Calibri"/>
                <w:lang w:eastAsia="en-GB"/>
              </w:rPr>
              <w:t xml:space="preserve">In comments section indicate what stage preparations are at in relation to each </w:t>
            </w:r>
            <w:r>
              <w:rPr>
                <w:rFonts w:ascii="Calibri" w:eastAsia="Times New Roman" w:hAnsi="Calibri" w:cs="Calibri"/>
                <w:lang w:eastAsia="en-GB"/>
              </w:rPr>
              <w:t>ATMP class</w:t>
            </w:r>
            <w:r w:rsidRPr="00A64BC3">
              <w:rPr>
                <w:rFonts w:ascii="Calibri" w:eastAsia="Times New Roman" w:hAnsi="Calibri" w:cs="Calibri"/>
                <w:lang w:eastAsia="en-GB"/>
              </w:rPr>
              <w:t>, what plans are in place for attaining readiness and projected timescales.</w:t>
            </w:r>
          </w:p>
        </w:tc>
      </w:tr>
      <w:tr w:rsidR="000E4FE1" w:rsidRPr="00A64BC3" w14:paraId="7538F3A4" w14:textId="77777777" w:rsidTr="00D14558">
        <w:trPr>
          <w:trHeight w:val="965"/>
        </w:trPr>
        <w:tc>
          <w:tcPr>
            <w:tcW w:w="2034" w:type="dxa"/>
          </w:tcPr>
          <w:p w14:paraId="29D04F89" w14:textId="28F8927E" w:rsidR="000E4FE1" w:rsidRPr="00A64BC3" w:rsidRDefault="000E4FE1" w:rsidP="000E4FE1">
            <w:pPr>
              <w:tabs>
                <w:tab w:val="left" w:pos="1701"/>
              </w:tabs>
              <w:spacing w:before="120" w:after="120"/>
              <w:rPr>
                <w:rFonts w:ascii="Calibri" w:eastAsia="Times New Roman" w:hAnsi="Calibri" w:cs="Calibri"/>
                <w:b/>
                <w:lang w:eastAsia="en-GB"/>
              </w:rPr>
            </w:pPr>
            <w:r w:rsidRPr="00A64BC3">
              <w:rPr>
                <w:rFonts w:ascii="Calibri" w:eastAsia="Times New Roman" w:hAnsi="Calibri" w:cs="Calibri"/>
                <w:b/>
                <w:lang w:eastAsia="en-GB"/>
              </w:rPr>
              <w:t>Green – In place and evidenced</w:t>
            </w:r>
          </w:p>
        </w:tc>
        <w:tc>
          <w:tcPr>
            <w:tcW w:w="8378" w:type="dxa"/>
          </w:tcPr>
          <w:p w14:paraId="3787F118" w14:textId="447F5674" w:rsidR="000E4FE1" w:rsidRPr="00A64BC3" w:rsidRDefault="000E4FE1" w:rsidP="000E4FE1">
            <w:pPr>
              <w:tabs>
                <w:tab w:val="left" w:pos="1701"/>
              </w:tabs>
              <w:spacing w:before="120" w:after="120"/>
              <w:rPr>
                <w:rFonts w:ascii="Calibri" w:eastAsia="Times New Roman" w:hAnsi="Calibri" w:cs="Calibri"/>
                <w:lang w:eastAsia="en-GB"/>
              </w:rPr>
            </w:pPr>
            <w:r w:rsidRPr="00A64BC3">
              <w:rPr>
                <w:rFonts w:ascii="Calibri" w:eastAsia="Times New Roman" w:hAnsi="Calibri" w:cs="Calibri"/>
                <w:lang w:eastAsia="en-GB"/>
              </w:rPr>
              <w:t xml:space="preserve">In comments section indicate which </w:t>
            </w:r>
            <w:r>
              <w:rPr>
                <w:rFonts w:ascii="Calibri" w:eastAsia="Times New Roman" w:hAnsi="Calibri" w:cs="Calibri"/>
                <w:lang w:eastAsia="en-GB"/>
              </w:rPr>
              <w:t xml:space="preserve">ATMP classes </w:t>
            </w:r>
            <w:r w:rsidRPr="00A64BC3">
              <w:rPr>
                <w:rFonts w:ascii="Calibri" w:eastAsia="Times New Roman" w:hAnsi="Calibri" w:cs="Calibri"/>
                <w:lang w:eastAsia="en-GB"/>
              </w:rPr>
              <w:t xml:space="preserve">are ready to </w:t>
            </w:r>
            <w:r>
              <w:rPr>
                <w:rFonts w:ascii="Calibri" w:eastAsia="Times New Roman" w:hAnsi="Calibri" w:cs="Calibri"/>
                <w:lang w:eastAsia="en-GB"/>
              </w:rPr>
              <w:t xml:space="preserve">be </w:t>
            </w:r>
            <w:r w:rsidRPr="00A64BC3">
              <w:rPr>
                <w:rFonts w:ascii="Calibri" w:eastAsia="Times New Roman" w:hAnsi="Calibri" w:cs="Calibri"/>
                <w:lang w:eastAsia="en-GB"/>
              </w:rPr>
              <w:t>deliver</w:t>
            </w:r>
            <w:r>
              <w:rPr>
                <w:rFonts w:ascii="Calibri" w:eastAsia="Times New Roman" w:hAnsi="Calibri" w:cs="Calibri"/>
                <w:lang w:eastAsia="en-GB"/>
              </w:rPr>
              <w:t>ed</w:t>
            </w:r>
            <w:r w:rsidRPr="00A64BC3">
              <w:rPr>
                <w:rFonts w:ascii="Calibri" w:eastAsia="Times New Roman" w:hAnsi="Calibri" w:cs="Calibri"/>
                <w:lang w:eastAsia="en-GB"/>
              </w:rPr>
              <w:t xml:space="preserve"> and share any learning which may benefit the other Hospitals.</w:t>
            </w:r>
          </w:p>
        </w:tc>
      </w:tr>
    </w:tbl>
    <w:p w14:paraId="266E5B52" w14:textId="0AAA518A" w:rsidR="00A7158C" w:rsidRPr="00121FFA" w:rsidRDefault="00A7158C" w:rsidP="00A5460A"/>
    <w:sectPr w:rsidR="00A7158C" w:rsidRPr="00121FFA" w:rsidSect="00D14558">
      <w:head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06DF" w14:textId="77777777" w:rsidR="00DA04FF" w:rsidRDefault="00DA04FF" w:rsidP="00360C98">
      <w:pPr>
        <w:spacing w:after="0" w:line="240" w:lineRule="auto"/>
      </w:pPr>
      <w:r>
        <w:separator/>
      </w:r>
    </w:p>
  </w:endnote>
  <w:endnote w:type="continuationSeparator" w:id="0">
    <w:p w14:paraId="3C59A170" w14:textId="77777777" w:rsidR="00DA04FF" w:rsidRDefault="00DA04FF" w:rsidP="0036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FFF4" w14:textId="77777777" w:rsidR="000C5CAD" w:rsidRDefault="000C5CAD">
    <w:pPr>
      <w:pStyle w:val="BodyText"/>
      <w:spacing w:line="14" w:lineRule="auto"/>
      <w:rPr>
        <w:sz w:val="20"/>
      </w:rPr>
    </w:pPr>
    <w:r>
      <w:rPr>
        <w:noProof/>
      </w:rPr>
      <w:drawing>
        <wp:anchor distT="0" distB="0" distL="0" distR="0" simplePos="0" relativeHeight="251661312" behindDoc="1" locked="0" layoutInCell="1" allowOverlap="1" wp14:anchorId="50D96E6A" wp14:editId="406DB605">
          <wp:simplePos x="0" y="0"/>
          <wp:positionH relativeFrom="page">
            <wp:posOffset>5481581</wp:posOffset>
          </wp:positionH>
          <wp:positionV relativeFrom="page">
            <wp:posOffset>9625583</wp:posOffset>
          </wp:positionV>
          <wp:extent cx="1463155" cy="615696"/>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463155" cy="615696"/>
                  </a:xfrm>
                  <a:prstGeom prst="rect">
                    <a:avLst/>
                  </a:prstGeom>
                </pic:spPr>
              </pic:pic>
            </a:graphicData>
          </a:graphic>
        </wp:anchor>
      </w:drawing>
    </w:r>
    <w:r>
      <w:rPr>
        <w:noProof/>
      </w:rPr>
      <w:drawing>
        <wp:anchor distT="0" distB="0" distL="0" distR="0" simplePos="0" relativeHeight="251662336" behindDoc="1" locked="0" layoutInCell="1" allowOverlap="1" wp14:anchorId="4BECABAB" wp14:editId="51828E65">
          <wp:simplePos x="0" y="0"/>
          <wp:positionH relativeFrom="page">
            <wp:posOffset>563283</wp:posOffset>
          </wp:positionH>
          <wp:positionV relativeFrom="page">
            <wp:posOffset>9552622</wp:posOffset>
          </wp:positionV>
          <wp:extent cx="1250253" cy="57643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250253" cy="5764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09FE" w14:textId="77777777" w:rsidR="00DA04FF" w:rsidRDefault="00DA04FF" w:rsidP="00360C98">
      <w:pPr>
        <w:spacing w:after="0" w:line="240" w:lineRule="auto"/>
      </w:pPr>
      <w:r>
        <w:separator/>
      </w:r>
    </w:p>
  </w:footnote>
  <w:footnote w:type="continuationSeparator" w:id="0">
    <w:p w14:paraId="13BF9984" w14:textId="77777777" w:rsidR="00DA04FF" w:rsidRDefault="00DA04FF" w:rsidP="0036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294C" w14:textId="77777777" w:rsidR="000C5CAD" w:rsidRDefault="000C5CAD">
    <w:pPr>
      <w:pStyle w:val="BodyText"/>
      <w:spacing w:line="14" w:lineRule="auto"/>
      <w:rPr>
        <w:sz w:val="20"/>
      </w:rPr>
    </w:pPr>
    <w:r>
      <w:rPr>
        <w:noProof/>
        <w:sz w:val="20"/>
      </w:rPr>
      <w:drawing>
        <wp:anchor distT="0" distB="0" distL="114300" distR="114300" simplePos="0" relativeHeight="251663360" behindDoc="1" locked="0" layoutInCell="1" allowOverlap="1" wp14:anchorId="032FE7A8" wp14:editId="5FD6DC97">
          <wp:simplePos x="0" y="0"/>
          <wp:positionH relativeFrom="column">
            <wp:posOffset>-136525</wp:posOffset>
          </wp:positionH>
          <wp:positionV relativeFrom="paragraph">
            <wp:posOffset>-211455</wp:posOffset>
          </wp:positionV>
          <wp:extent cx="2753995" cy="608330"/>
          <wp:effectExtent l="0" t="0" r="8255" b="127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3995" cy="6083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308E" w14:textId="00D839DF" w:rsidR="00E85558" w:rsidRDefault="005C238B">
    <w:pPr>
      <w:pStyle w:val="Header"/>
    </w:pPr>
    <w:r>
      <w:rPr>
        <w:noProof/>
        <w:lang w:eastAsia="en-GB"/>
      </w:rPr>
      <w:drawing>
        <wp:inline distT="0" distB="0" distL="0" distR="0" wp14:anchorId="0230CD0C" wp14:editId="3FFCE4CB">
          <wp:extent cx="1900105" cy="42545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918836" cy="429644"/>
                  </a:xfrm>
                  <a:prstGeom prst="rect">
                    <a:avLst/>
                  </a:prstGeom>
                </pic:spPr>
              </pic:pic>
            </a:graphicData>
          </a:graphic>
        </wp:inline>
      </w:drawing>
    </w:r>
  </w:p>
  <w:p w14:paraId="1A24666B" w14:textId="77777777" w:rsidR="00E85558" w:rsidRDefault="00E85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0FDE" w14:textId="7E16B405" w:rsidR="00A43F86" w:rsidRDefault="00A43F86">
    <w:pPr>
      <w:pStyle w:val="Header"/>
    </w:pPr>
    <w:r>
      <w:rPr>
        <w:noProof/>
        <w:sz w:val="20"/>
      </w:rPr>
      <w:drawing>
        <wp:anchor distT="0" distB="0" distL="114300" distR="114300" simplePos="0" relativeHeight="251659264" behindDoc="1" locked="0" layoutInCell="1" allowOverlap="1" wp14:anchorId="48051243" wp14:editId="4AB1F8D5">
          <wp:simplePos x="0" y="0"/>
          <wp:positionH relativeFrom="column">
            <wp:posOffset>-373380</wp:posOffset>
          </wp:positionH>
          <wp:positionV relativeFrom="paragraph">
            <wp:posOffset>52705</wp:posOffset>
          </wp:positionV>
          <wp:extent cx="2753995" cy="608330"/>
          <wp:effectExtent l="0" t="0" r="8255" b="127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rawing&#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3995" cy="608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90F3D00"/>
    <w:multiLevelType w:val="hybridMultilevel"/>
    <w:tmpl w:val="E6B2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C5FFC"/>
    <w:multiLevelType w:val="hybridMultilevel"/>
    <w:tmpl w:val="317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E1552"/>
    <w:multiLevelType w:val="hybridMultilevel"/>
    <w:tmpl w:val="6DFA8F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9C11C8"/>
    <w:multiLevelType w:val="hybridMultilevel"/>
    <w:tmpl w:val="A300A7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9C63B0"/>
    <w:multiLevelType w:val="hybridMultilevel"/>
    <w:tmpl w:val="3AA6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D322D"/>
    <w:multiLevelType w:val="hybridMultilevel"/>
    <w:tmpl w:val="60FA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507668"/>
    <w:multiLevelType w:val="hybridMultilevel"/>
    <w:tmpl w:val="A6C42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5220B3"/>
    <w:multiLevelType w:val="hybridMultilevel"/>
    <w:tmpl w:val="54B8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45F86"/>
    <w:multiLevelType w:val="hybridMultilevel"/>
    <w:tmpl w:val="A4A6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06191"/>
    <w:multiLevelType w:val="hybridMultilevel"/>
    <w:tmpl w:val="8C5C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508074">
    <w:abstractNumId w:val="7"/>
  </w:num>
  <w:num w:numId="2" w16cid:durableId="678579348">
    <w:abstractNumId w:val="3"/>
  </w:num>
  <w:num w:numId="3" w16cid:durableId="1772891365">
    <w:abstractNumId w:val="9"/>
  </w:num>
  <w:num w:numId="4" w16cid:durableId="1566254035">
    <w:abstractNumId w:val="6"/>
  </w:num>
  <w:num w:numId="5" w16cid:durableId="773332146">
    <w:abstractNumId w:val="2"/>
  </w:num>
  <w:num w:numId="6" w16cid:durableId="851261534">
    <w:abstractNumId w:val="5"/>
  </w:num>
  <w:num w:numId="7" w16cid:durableId="1744524623">
    <w:abstractNumId w:val="11"/>
  </w:num>
  <w:num w:numId="8" w16cid:durableId="789981560">
    <w:abstractNumId w:val="8"/>
  </w:num>
  <w:num w:numId="9" w16cid:durableId="2108381205">
    <w:abstractNumId w:val="4"/>
  </w:num>
  <w:num w:numId="10" w16cid:durableId="166530090">
    <w:abstractNumId w:val="0"/>
  </w:num>
  <w:num w:numId="11" w16cid:durableId="518275612">
    <w:abstractNumId w:val="1"/>
  </w:num>
  <w:num w:numId="12" w16cid:durableId="4770686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DF"/>
    <w:rsid w:val="0000378B"/>
    <w:rsid w:val="0000651A"/>
    <w:rsid w:val="0004149A"/>
    <w:rsid w:val="000C5CAD"/>
    <w:rsid w:val="000E4FE1"/>
    <w:rsid w:val="000F27CE"/>
    <w:rsid w:val="00121FFA"/>
    <w:rsid w:val="00126474"/>
    <w:rsid w:val="001457A0"/>
    <w:rsid w:val="001554CE"/>
    <w:rsid w:val="001645F4"/>
    <w:rsid w:val="00183DCB"/>
    <w:rsid w:val="001B69DD"/>
    <w:rsid w:val="001C6A87"/>
    <w:rsid w:val="001C6CD4"/>
    <w:rsid w:val="001C6F0D"/>
    <w:rsid w:val="002056F6"/>
    <w:rsid w:val="00226B9D"/>
    <w:rsid w:val="00247133"/>
    <w:rsid w:val="00253229"/>
    <w:rsid w:val="0027292C"/>
    <w:rsid w:val="00277643"/>
    <w:rsid w:val="002A0DD1"/>
    <w:rsid w:val="002F0EDA"/>
    <w:rsid w:val="00320A6A"/>
    <w:rsid w:val="00340670"/>
    <w:rsid w:val="00360C98"/>
    <w:rsid w:val="00386D51"/>
    <w:rsid w:val="00387489"/>
    <w:rsid w:val="003B5178"/>
    <w:rsid w:val="003C3144"/>
    <w:rsid w:val="003F3E94"/>
    <w:rsid w:val="00415E1F"/>
    <w:rsid w:val="00471407"/>
    <w:rsid w:val="00482080"/>
    <w:rsid w:val="004877F4"/>
    <w:rsid w:val="00490E25"/>
    <w:rsid w:val="004A1E8D"/>
    <w:rsid w:val="004B5632"/>
    <w:rsid w:val="004C143B"/>
    <w:rsid w:val="004C6273"/>
    <w:rsid w:val="004D2FB3"/>
    <w:rsid w:val="00503A2F"/>
    <w:rsid w:val="00541DD4"/>
    <w:rsid w:val="0057478A"/>
    <w:rsid w:val="005912D5"/>
    <w:rsid w:val="005A508C"/>
    <w:rsid w:val="005B17DF"/>
    <w:rsid w:val="005C200B"/>
    <w:rsid w:val="005C238B"/>
    <w:rsid w:val="005F753B"/>
    <w:rsid w:val="00663314"/>
    <w:rsid w:val="006657A7"/>
    <w:rsid w:val="0067000C"/>
    <w:rsid w:val="006A2EF3"/>
    <w:rsid w:val="006A72F0"/>
    <w:rsid w:val="006C131D"/>
    <w:rsid w:val="006D5CDB"/>
    <w:rsid w:val="00703092"/>
    <w:rsid w:val="00710270"/>
    <w:rsid w:val="007332D1"/>
    <w:rsid w:val="00752B2D"/>
    <w:rsid w:val="00756537"/>
    <w:rsid w:val="00756B87"/>
    <w:rsid w:val="00756BFE"/>
    <w:rsid w:val="00773F0A"/>
    <w:rsid w:val="00776EE0"/>
    <w:rsid w:val="007B1154"/>
    <w:rsid w:val="007C44F7"/>
    <w:rsid w:val="007E0359"/>
    <w:rsid w:val="007E036E"/>
    <w:rsid w:val="00811CD9"/>
    <w:rsid w:val="008340EE"/>
    <w:rsid w:val="008375C0"/>
    <w:rsid w:val="0084578E"/>
    <w:rsid w:val="00862187"/>
    <w:rsid w:val="0087568A"/>
    <w:rsid w:val="008B3836"/>
    <w:rsid w:val="008C5E83"/>
    <w:rsid w:val="008E053F"/>
    <w:rsid w:val="008F343E"/>
    <w:rsid w:val="00911476"/>
    <w:rsid w:val="009818D5"/>
    <w:rsid w:val="009958CD"/>
    <w:rsid w:val="009C0063"/>
    <w:rsid w:val="009C1C7F"/>
    <w:rsid w:val="009E09B3"/>
    <w:rsid w:val="00A43F86"/>
    <w:rsid w:val="00A46B7D"/>
    <w:rsid w:val="00A5460A"/>
    <w:rsid w:val="00A60221"/>
    <w:rsid w:val="00A64BC3"/>
    <w:rsid w:val="00A7158C"/>
    <w:rsid w:val="00AB4957"/>
    <w:rsid w:val="00AC193C"/>
    <w:rsid w:val="00AD2EDD"/>
    <w:rsid w:val="00B023D0"/>
    <w:rsid w:val="00B33C0B"/>
    <w:rsid w:val="00BC7487"/>
    <w:rsid w:val="00BF5E20"/>
    <w:rsid w:val="00C10DD0"/>
    <w:rsid w:val="00C44D0C"/>
    <w:rsid w:val="00C705BE"/>
    <w:rsid w:val="00CB5622"/>
    <w:rsid w:val="00CE1C75"/>
    <w:rsid w:val="00D14558"/>
    <w:rsid w:val="00DA04FF"/>
    <w:rsid w:val="00DD2B8B"/>
    <w:rsid w:val="00DF1E42"/>
    <w:rsid w:val="00E80A10"/>
    <w:rsid w:val="00E85558"/>
    <w:rsid w:val="00EA1DE4"/>
    <w:rsid w:val="00EE203D"/>
    <w:rsid w:val="00EE3755"/>
    <w:rsid w:val="00EF1504"/>
    <w:rsid w:val="00EF158D"/>
    <w:rsid w:val="00F11DF4"/>
    <w:rsid w:val="00F203F8"/>
    <w:rsid w:val="00F31038"/>
    <w:rsid w:val="00F4773B"/>
    <w:rsid w:val="00F82603"/>
    <w:rsid w:val="00FA5448"/>
    <w:rsid w:val="00FA7264"/>
    <w:rsid w:val="00FC11B5"/>
    <w:rsid w:val="00FC7D77"/>
    <w:rsid w:val="00FD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7B3C6"/>
  <w15:docId w15:val="{4686A765-04DD-44B6-8BA7-51944857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0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1FFA"/>
    <w:rPr>
      <w:color w:val="0000FF" w:themeColor="hyperlink"/>
      <w:u w:val="single"/>
    </w:rPr>
  </w:style>
  <w:style w:type="character" w:styleId="Strong">
    <w:name w:val="Strong"/>
    <w:basedOn w:val="DefaultParagraphFont"/>
    <w:uiPriority w:val="22"/>
    <w:qFormat/>
    <w:rsid w:val="00121FFA"/>
    <w:rPr>
      <w:b/>
      <w:bCs/>
    </w:rPr>
  </w:style>
  <w:style w:type="paragraph" w:styleId="ListParagraph">
    <w:name w:val="List Paragraph"/>
    <w:basedOn w:val="Normal"/>
    <w:uiPriority w:val="34"/>
    <w:qFormat/>
    <w:rsid w:val="00AD2EDD"/>
    <w:pPr>
      <w:ind w:left="720"/>
      <w:contextualSpacing/>
    </w:pPr>
  </w:style>
  <w:style w:type="paragraph" w:styleId="Header">
    <w:name w:val="header"/>
    <w:basedOn w:val="Normal"/>
    <w:link w:val="HeaderChar"/>
    <w:uiPriority w:val="99"/>
    <w:unhideWhenUsed/>
    <w:rsid w:val="00360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98"/>
  </w:style>
  <w:style w:type="paragraph" w:styleId="Footer">
    <w:name w:val="footer"/>
    <w:basedOn w:val="Normal"/>
    <w:link w:val="FooterChar"/>
    <w:uiPriority w:val="99"/>
    <w:unhideWhenUsed/>
    <w:rsid w:val="00360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98"/>
  </w:style>
  <w:style w:type="paragraph" w:styleId="BalloonText">
    <w:name w:val="Balloon Text"/>
    <w:basedOn w:val="Normal"/>
    <w:link w:val="BalloonTextChar"/>
    <w:uiPriority w:val="99"/>
    <w:semiHidden/>
    <w:unhideWhenUsed/>
    <w:rsid w:val="0036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98"/>
    <w:rPr>
      <w:rFonts w:ascii="Tahoma" w:hAnsi="Tahoma" w:cs="Tahoma"/>
      <w:sz w:val="16"/>
      <w:szCs w:val="16"/>
    </w:rPr>
  </w:style>
  <w:style w:type="character" w:styleId="CommentReference">
    <w:name w:val="annotation reference"/>
    <w:basedOn w:val="DefaultParagraphFont"/>
    <w:uiPriority w:val="99"/>
    <w:semiHidden/>
    <w:unhideWhenUsed/>
    <w:rsid w:val="004B5632"/>
    <w:rPr>
      <w:sz w:val="16"/>
      <w:szCs w:val="16"/>
    </w:rPr>
  </w:style>
  <w:style w:type="paragraph" w:styleId="CommentText">
    <w:name w:val="annotation text"/>
    <w:basedOn w:val="Normal"/>
    <w:link w:val="CommentTextChar"/>
    <w:uiPriority w:val="99"/>
    <w:semiHidden/>
    <w:unhideWhenUsed/>
    <w:rsid w:val="004B5632"/>
    <w:pPr>
      <w:spacing w:line="240" w:lineRule="auto"/>
    </w:pPr>
    <w:rPr>
      <w:sz w:val="20"/>
      <w:szCs w:val="20"/>
    </w:rPr>
  </w:style>
  <w:style w:type="character" w:customStyle="1" w:styleId="CommentTextChar">
    <w:name w:val="Comment Text Char"/>
    <w:basedOn w:val="DefaultParagraphFont"/>
    <w:link w:val="CommentText"/>
    <w:uiPriority w:val="99"/>
    <w:semiHidden/>
    <w:rsid w:val="004B5632"/>
    <w:rPr>
      <w:sz w:val="20"/>
      <w:szCs w:val="20"/>
    </w:rPr>
  </w:style>
  <w:style w:type="paragraph" w:styleId="CommentSubject">
    <w:name w:val="annotation subject"/>
    <w:basedOn w:val="CommentText"/>
    <w:next w:val="CommentText"/>
    <w:link w:val="CommentSubjectChar"/>
    <w:uiPriority w:val="99"/>
    <w:semiHidden/>
    <w:unhideWhenUsed/>
    <w:rsid w:val="004B5632"/>
    <w:rPr>
      <w:b/>
      <w:bCs/>
    </w:rPr>
  </w:style>
  <w:style w:type="character" w:customStyle="1" w:styleId="CommentSubjectChar">
    <w:name w:val="Comment Subject Char"/>
    <w:basedOn w:val="CommentTextChar"/>
    <w:link w:val="CommentSubject"/>
    <w:uiPriority w:val="99"/>
    <w:semiHidden/>
    <w:rsid w:val="004B5632"/>
    <w:rPr>
      <w:b/>
      <w:bCs/>
      <w:sz w:val="20"/>
      <w:szCs w:val="20"/>
    </w:rPr>
  </w:style>
  <w:style w:type="table" w:styleId="TableTheme">
    <w:name w:val="Table Theme"/>
    <w:basedOn w:val="TableNormal"/>
    <w:uiPriority w:val="99"/>
    <w:rsid w:val="00247133"/>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7133"/>
    <w:rPr>
      <w:color w:val="800080" w:themeColor="followedHyperlink"/>
      <w:u w:val="single"/>
    </w:rPr>
  </w:style>
  <w:style w:type="table" w:styleId="TableGrid">
    <w:name w:val="Table Grid"/>
    <w:basedOn w:val="TableNormal"/>
    <w:uiPriority w:val="59"/>
    <w:rsid w:val="00EF1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C5CA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C5CAD"/>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40534">
      <w:bodyDiv w:val="1"/>
      <w:marLeft w:val="0"/>
      <w:marRight w:val="0"/>
      <w:marTop w:val="0"/>
      <w:marBottom w:val="0"/>
      <w:divBdr>
        <w:top w:val="none" w:sz="0" w:space="0" w:color="auto"/>
        <w:left w:val="none" w:sz="0" w:space="0" w:color="auto"/>
        <w:bottom w:val="none" w:sz="0" w:space="0" w:color="auto"/>
        <w:right w:val="none" w:sz="0" w:space="0" w:color="auto"/>
      </w:divBdr>
      <w:divsChild>
        <w:div w:id="1664628336">
          <w:marLeft w:val="0"/>
          <w:marRight w:val="0"/>
          <w:marTop w:val="0"/>
          <w:marBottom w:val="0"/>
          <w:divBdr>
            <w:top w:val="none" w:sz="0" w:space="0" w:color="auto"/>
            <w:left w:val="none" w:sz="0" w:space="0" w:color="auto"/>
            <w:bottom w:val="none" w:sz="0" w:space="0" w:color="auto"/>
            <w:right w:val="none" w:sz="0" w:space="0" w:color="auto"/>
          </w:divBdr>
          <w:divsChild>
            <w:div w:id="657729635">
              <w:marLeft w:val="0"/>
              <w:marRight w:val="0"/>
              <w:marTop w:val="0"/>
              <w:marBottom w:val="0"/>
              <w:divBdr>
                <w:top w:val="none" w:sz="0" w:space="0" w:color="auto"/>
                <w:left w:val="none" w:sz="0" w:space="0" w:color="auto"/>
                <w:bottom w:val="none" w:sz="0" w:space="0" w:color="auto"/>
                <w:right w:val="none" w:sz="0" w:space="0" w:color="auto"/>
              </w:divBdr>
              <w:divsChild>
                <w:div w:id="337075070">
                  <w:marLeft w:val="-225"/>
                  <w:marRight w:val="-225"/>
                  <w:marTop w:val="0"/>
                  <w:marBottom w:val="0"/>
                  <w:divBdr>
                    <w:top w:val="none" w:sz="0" w:space="0" w:color="auto"/>
                    <w:left w:val="none" w:sz="0" w:space="0" w:color="auto"/>
                    <w:bottom w:val="none" w:sz="0" w:space="0" w:color="auto"/>
                    <w:right w:val="none" w:sz="0" w:space="0" w:color="auto"/>
                  </w:divBdr>
                  <w:divsChild>
                    <w:div w:id="1064569954">
                      <w:marLeft w:val="0"/>
                      <w:marRight w:val="0"/>
                      <w:marTop w:val="0"/>
                      <w:marBottom w:val="0"/>
                      <w:divBdr>
                        <w:top w:val="none" w:sz="0" w:space="0" w:color="auto"/>
                        <w:left w:val="none" w:sz="0" w:space="0" w:color="auto"/>
                        <w:bottom w:val="none" w:sz="0" w:space="0" w:color="auto"/>
                        <w:right w:val="none" w:sz="0" w:space="0" w:color="auto"/>
                      </w:divBdr>
                      <w:divsChild>
                        <w:div w:id="671569644">
                          <w:marLeft w:val="0"/>
                          <w:marRight w:val="0"/>
                          <w:marTop w:val="0"/>
                          <w:marBottom w:val="0"/>
                          <w:divBdr>
                            <w:top w:val="none" w:sz="0" w:space="0" w:color="auto"/>
                            <w:left w:val="none" w:sz="0" w:space="0" w:color="auto"/>
                            <w:bottom w:val="none" w:sz="0" w:space="0" w:color="auto"/>
                            <w:right w:val="none" w:sz="0" w:space="0" w:color="auto"/>
                          </w:divBdr>
                          <w:divsChild>
                            <w:div w:id="1309550736">
                              <w:marLeft w:val="0"/>
                              <w:marRight w:val="0"/>
                              <w:marTop w:val="0"/>
                              <w:marBottom w:val="0"/>
                              <w:divBdr>
                                <w:top w:val="none" w:sz="0" w:space="0" w:color="auto"/>
                                <w:left w:val="none" w:sz="0" w:space="0" w:color="auto"/>
                                <w:bottom w:val="none" w:sz="0" w:space="0" w:color="auto"/>
                                <w:right w:val="none" w:sz="0" w:space="0" w:color="auto"/>
                              </w:divBdr>
                              <w:divsChild>
                                <w:div w:id="1963028837">
                                  <w:marLeft w:val="0"/>
                                  <w:marRight w:val="0"/>
                                  <w:marTop w:val="0"/>
                                  <w:marBottom w:val="0"/>
                                  <w:divBdr>
                                    <w:top w:val="none" w:sz="0" w:space="0" w:color="auto"/>
                                    <w:left w:val="none" w:sz="0" w:space="0" w:color="auto"/>
                                    <w:bottom w:val="none" w:sz="0" w:space="0" w:color="auto"/>
                                    <w:right w:val="none" w:sz="0" w:space="0" w:color="auto"/>
                                  </w:divBdr>
                                  <w:divsChild>
                                    <w:div w:id="1762723827">
                                      <w:marLeft w:val="0"/>
                                      <w:marRight w:val="0"/>
                                      <w:marTop w:val="0"/>
                                      <w:marBottom w:val="120"/>
                                      <w:divBdr>
                                        <w:top w:val="single" w:sz="6" w:space="0" w:color="12548E"/>
                                        <w:left w:val="single" w:sz="6" w:space="0" w:color="12548E"/>
                                        <w:bottom w:val="single" w:sz="6" w:space="0" w:color="12548E"/>
                                        <w:right w:val="single" w:sz="6" w:space="0" w:color="12548E"/>
                                      </w:divBdr>
                                      <w:divsChild>
                                        <w:div w:id="19073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ps.nhs.uk/articles/pharmacy-oversight-and-supervision-requirements-for-preparation-of-licensed-atm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s.nhs.uk/articles/pharmacy-institutional-readiness-for-marketed-car-t-therapy-guidance-for-chief-pharmacis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heattcnetwork.co.uk/advanced-therapies-nhs-readiness-toolk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sps.nhs.uk/articles/regulatory-requirements-for-export-of-atmp-starting-materials-pan-uk-pharmacy-working-group-on-atm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c/4.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theattcnetwork.co.uk/wp-content/uploads/2020/01/Generic-Allogeneic-V1.4-09.05.19.pdf" TargetMode="External"/><Relationship Id="rId10" Type="http://schemas.openxmlformats.org/officeDocument/2006/relationships/endnotes" Target="endnotes.xml"/><Relationship Id="rId19" Type="http://schemas.openxmlformats.org/officeDocument/2006/relationships/hyperlink" Target="https://www.sps.nhs.uk/articles/requirements-for-governance-preparation-of-gene-therapy-pan-uk-pharmacy-working-group-for-atm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theattcnetwork.co.uk/wp-content/uploads/2020/01/Generic-Autologous-Patient-Pathway-V1.3-19.12.19-1.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0D07FD655B4FB13549317B434A0C" ma:contentTypeVersion="13" ma:contentTypeDescription="Create a new document." ma:contentTypeScope="" ma:versionID="87de88f59dc517b58f722430139c5039">
  <xsd:schema xmlns:xsd="http://www.w3.org/2001/XMLSchema" xmlns:xs="http://www.w3.org/2001/XMLSchema" xmlns:p="http://schemas.microsoft.com/office/2006/metadata/properties" xmlns:ns3="205c59ee-29f3-4999-a4bb-ddd8af10fbfa" xmlns:ns4="e46cbff8-e1e5-4b42-9a2b-1946e9f5d474" targetNamespace="http://schemas.microsoft.com/office/2006/metadata/properties" ma:root="true" ma:fieldsID="e670914f1d45868a42698db9189c6c9f" ns3:_="" ns4:_="">
    <xsd:import namespace="205c59ee-29f3-4999-a4bb-ddd8af10fbfa"/>
    <xsd:import namespace="e46cbff8-e1e5-4b42-9a2b-1946e9f5d4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c59ee-29f3-4999-a4bb-ddd8af10f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bff8-e1e5-4b42-9a2b-1946e9f5d4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3B43-BB3F-4347-977F-F4A10556F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c59ee-29f3-4999-a4bb-ddd8af10fbfa"/>
    <ds:schemaRef ds:uri="e46cbff8-e1e5-4b42-9a2b-1946e9f5d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91CC3-88DB-4A50-9909-85ED2AE14D67}">
  <ds:schemaRefs>
    <ds:schemaRef ds:uri="http://purl.org/dc/terms/"/>
    <ds:schemaRef ds:uri="http://schemas.openxmlformats.org/package/2006/metadata/core-properties"/>
    <ds:schemaRef ds:uri="http://purl.org/dc/dcmitype/"/>
    <ds:schemaRef ds:uri="http://schemas.microsoft.com/office/2006/documentManagement/types"/>
    <ds:schemaRef ds:uri="205c59ee-29f3-4999-a4bb-ddd8af10fbfa"/>
    <ds:schemaRef ds:uri="http://purl.org/dc/elements/1.1/"/>
    <ds:schemaRef ds:uri="http://schemas.microsoft.com/office/2006/metadata/properties"/>
    <ds:schemaRef ds:uri="e46cbff8-e1e5-4b42-9a2b-1946e9f5d47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B7F80B6-02C5-46D7-900A-D00A76A69CC6}">
  <ds:schemaRefs>
    <ds:schemaRef ds:uri="http://schemas.openxmlformats.org/officeDocument/2006/bibliography"/>
  </ds:schemaRefs>
</ds:datastoreItem>
</file>

<file path=customXml/itemProps4.xml><?xml version="1.0" encoding="utf-8"?>
<ds:datastoreItem xmlns:ds="http://schemas.openxmlformats.org/officeDocument/2006/customXml" ds:itemID="{823A7085-CB05-48EE-A383-099EB07BD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Tanney, Katherine</dc:creator>
  <cp:lastModifiedBy>Kamilah Lakhani-Powell</cp:lastModifiedBy>
  <cp:revision>11</cp:revision>
  <dcterms:created xsi:type="dcterms:W3CDTF">2021-04-29T10:49:00Z</dcterms:created>
  <dcterms:modified xsi:type="dcterms:W3CDTF">2023-01-11T12:13:00Z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0x01010033830D07FD655B4FB13549317B434A0C</vt:lpwstr>
  </property>
</Properties>
</file>